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May 21, 2026</w:t>
      </w:r>
    </w:p>
    <w:p>
      <w:pPr>
        <w:spacing w:after="0" w:line="27" w:lineRule="exact"/>
        <w:rPr>
          <w:sz w:val="24"/>
          <w:szCs w:val="24"/>
          <w:color w:val="auto"/>
        </w:rPr>
      </w:pPr>
    </w:p>
    <w:p>
      <w:pPr>
        <w:ind w:left="8380"/>
        <w:spacing w:after="0"/>
        <w:rPr>
          <w:sz w:val="20"/>
          <w:szCs w:val="20"/>
          <w:color w:val="auto"/>
        </w:rPr>
      </w:pPr>
      <w:r>
        <w:rPr>
          <w:rFonts w:ascii="Times New Roman" w:cs="Times New Roman" w:eastAsia="Times New Roman" w:hAnsi="Times New Roman"/>
          <w:sz w:val="18"/>
          <w:szCs w:val="18"/>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SECURITIES ACT OF 1933</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Ontario</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3571</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777 Bay Street, Suite 2400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Toronto, Ontario M5G 2C8</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 (416) 304-9629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Christian Weedbrook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Bay Street, Suite 2400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M5G 2C8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(416) 304-9629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135"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36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i w:val="1"/>
                <w:iCs w:val="1"/>
                <w:color w:val="auto"/>
                <w:w w:val="99"/>
              </w:rPr>
              <w:t>With copies to:</w:t>
            </w:r>
          </w:p>
        </w:tc>
        <w:tc>
          <w:tcPr>
            <w:tcW w:w="3360" w:type="dxa"/>
            <w:vAlign w:val="bottom"/>
          </w:tcPr>
          <w:p>
            <w:pPr>
              <w:spacing w:after="0"/>
              <w:rPr>
                <w:sz w:val="20"/>
                <w:szCs w:val="20"/>
                <w:color w:val="auto"/>
              </w:rPr>
            </w:pPr>
          </w:p>
        </w:tc>
      </w:tr>
      <w:tr>
        <w:trPr>
          <w:trHeight w:val="342"/>
        </w:trPr>
        <w:tc>
          <w:tcPr>
            <w:tcW w:w="29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Natalie Wilmore</w:t>
            </w:r>
          </w:p>
        </w:tc>
        <w:tc>
          <w:tcPr>
            <w:tcW w:w="3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Peter Byrne</w:t>
            </w:r>
          </w:p>
        </w:tc>
        <w:tc>
          <w:tcPr>
            <w:tcW w:w="336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Chad Bayne</w:t>
            </w:r>
          </w:p>
        </w:tc>
      </w:tr>
      <w:tr>
        <w:trPr>
          <w:trHeight w:val="216"/>
        </w:trPr>
        <w:tc>
          <w:tcPr>
            <w:tcW w:w="29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777 Bay Street, Suite 2400</w:t>
            </w:r>
          </w:p>
        </w:tc>
        <w:tc>
          <w:tcPr>
            <w:tcW w:w="3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Kristin VanderPas</w:t>
            </w:r>
          </w:p>
        </w:tc>
        <w:tc>
          <w:tcPr>
            <w:tcW w:w="336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James R. Brown</w:t>
            </w:r>
          </w:p>
        </w:tc>
      </w:tr>
      <w:tr>
        <w:trPr>
          <w:trHeight w:val="216"/>
        </w:trPr>
        <w:tc>
          <w:tcPr>
            <w:tcW w:w="29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Toronto, Ontario M5G 2C8</w:t>
            </w:r>
          </w:p>
        </w:tc>
        <w:tc>
          <w:tcPr>
            <w:tcW w:w="3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Grady Chang</w:t>
            </w:r>
          </w:p>
        </w:tc>
        <w:tc>
          <w:tcPr>
            <w:tcW w:w="33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Osler, Hoskin &amp; Harcourt LLP</w:t>
            </w:r>
          </w:p>
        </w:tc>
      </w:tr>
      <w:tr>
        <w:trPr>
          <w:trHeight w:val="216"/>
        </w:trPr>
        <w:tc>
          <w:tcPr>
            <w:tcW w:w="29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33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 First Canadian Place, Suite 6200</w:t>
            </w:r>
          </w:p>
        </w:tc>
      </w:tr>
      <w:tr>
        <w:trPr>
          <w:trHeight w:val="216"/>
        </w:trPr>
        <w:tc>
          <w:tcPr>
            <w:tcW w:w="29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Tel: (416) 304-9629</w:t>
            </w:r>
          </w:p>
        </w:tc>
        <w:tc>
          <w:tcPr>
            <w:tcW w:w="3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55 Hudson Yards</w:t>
            </w:r>
          </w:p>
        </w:tc>
        <w:tc>
          <w:tcPr>
            <w:tcW w:w="336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100 King Street West</w:t>
            </w:r>
          </w:p>
        </w:tc>
      </w:tr>
      <w:tr>
        <w:trPr>
          <w:trHeight w:val="216"/>
        </w:trPr>
        <w:tc>
          <w:tcPr>
            <w:tcW w:w="2960" w:type="dxa"/>
            <w:vAlign w:val="bottom"/>
          </w:tcPr>
          <w:p>
            <w:pPr>
              <w:spacing w:after="0"/>
              <w:rPr>
                <w:sz w:val="18"/>
                <w:szCs w:val="18"/>
                <w:color w:val="auto"/>
              </w:rPr>
            </w:pPr>
          </w:p>
        </w:tc>
        <w:tc>
          <w:tcPr>
            <w:tcW w:w="3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New York, New York 10001</w:t>
            </w:r>
          </w:p>
        </w:tc>
        <w:tc>
          <w:tcPr>
            <w:tcW w:w="33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Toronto, Ontario M5X 1B8</w:t>
            </w:r>
          </w:p>
        </w:tc>
      </w:tr>
      <w:tr>
        <w:trPr>
          <w:trHeight w:val="216"/>
        </w:trPr>
        <w:tc>
          <w:tcPr>
            <w:tcW w:w="2960" w:type="dxa"/>
            <w:vAlign w:val="bottom"/>
          </w:tcPr>
          <w:p>
            <w:pPr>
              <w:spacing w:after="0"/>
              <w:rPr>
                <w:sz w:val="18"/>
                <w:szCs w:val="18"/>
                <w:color w:val="auto"/>
              </w:rPr>
            </w:pPr>
          </w:p>
        </w:tc>
        <w:tc>
          <w:tcPr>
            <w:tcW w:w="36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Tel: (212) 479-6000</w:t>
            </w:r>
          </w:p>
        </w:tc>
        <w:tc>
          <w:tcPr>
            <w:tcW w:w="33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Canada</w:t>
            </w:r>
          </w:p>
        </w:tc>
      </w:tr>
      <w:tr>
        <w:trPr>
          <w:trHeight w:val="238"/>
        </w:trPr>
        <w:tc>
          <w:tcPr>
            <w:tcW w:w="29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3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7"/>
              </w:rPr>
              <w:t>Tel: (416) 362-2111</w:t>
            </w: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of the securities to the public: From time to time after this Registration Statement becomes effective.</w:t>
      </w:r>
    </w:p>
    <w:p>
      <w:pPr>
        <w:spacing w:after="0" w:line="15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or the Securities Act,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ind w:right="174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03"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90"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Neither we nor the selling securityholders may issue or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MAY 21,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30,000,000 Class B Subordinate Voting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100,000 Class B Subordinate Voting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relates to the resale of up to (i) 30,000,000 subordinate voting shares, without par value (“Class B Subordinate Voting Shares”) by YA</w:t>
      </w:r>
    </w:p>
    <w:p>
      <w:pPr>
        <w:spacing w:after="0" w:line="27" w:lineRule="exact"/>
        <w:rPr>
          <w:sz w:val="20"/>
          <w:szCs w:val="20"/>
          <w:color w:val="auto"/>
        </w:rPr>
      </w:pPr>
    </w:p>
    <w:p>
      <w:pPr>
        <w:ind w:firstLine="8"/>
        <w:spacing w:after="0" w:line="260" w:lineRule="auto"/>
        <w:tabs>
          <w:tab w:leader="none" w:pos="1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LTD., a Cayman Islands exempt limited partnership (“Yorkville”) and (ii) 100,000 Class B Subordinate Voting Shares (the “Cohen Shares”) issued to Cohen &amp; Company Securities, LLC (“Cohen” and together with Yorkville, the “Selling Securityholders”) in a private placement.</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shares included in this prospectus include Class B Subordinate Voting Shares that we may, in our discretion, elect to issue and sell to Yorkville, from time to time after the date of this prospectus, pursuant to a standby equity purchase agreement we entered into with Yorkville on May 20, 2026 (the “SEPA”), in which Yorkville has committed to purchase from us, at our direction, up to $300,000,000 (the “Commitment Amount”) of our Class B Subordinate Voting Shares, subject to terms and conditions specified in the SEPA. As of the date of this prospectus, we have not issued any Class B Subordinate Voting Shares to Yorkville. See the section titled “Committed Equity Financing” for a description of the SEPA and the section titled “Selling Securityholders” for additional information regarding Yorkville.</w:t>
      </w:r>
    </w:p>
    <w:p>
      <w:pPr>
        <w:spacing w:after="0" w:line="187"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Our registration of the securities covered by this prospectus does not mean that we will issue or that Yorkville will offer or sell any of the Class B Subordinate Voting Shares. Yorkville may offer, sell or distribute all or a portion of their Class B Subordinate Voting Shares publicly or through private transactions at prevailing market prices or at negotiated prices. We will not receive any proceeds from the sale of Class B Subordinate Voting Shares by Yorkville pursuant to this prospectus. However, we may receive up to $300,000,000 in aggregate gross proceeds (representing the full commitment amount before the application of the 2.5% discount to the Market Price (as defined below) at which Yorkville purchases shares) from sales of our Class B Subordinate Voting Shares to Yorkville that we may, in our discretion, elect to make, from time to time after the date of this prospectus, pursuant to and during the term of the SEPA. We provide more information about how Yorkville may sell or otherwise dispose of our Class B Subordinate Voting Shares in the section entitled “Plan of Distribution.” Yorkville is an “underwriter” within the meaning of Section 2(a)(11) of the Securities Act of 1933, as amended.</w:t>
      </w:r>
    </w:p>
    <w:p>
      <w:pPr>
        <w:spacing w:after="0" w:line="1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Cohen may offer, sell or distribute all or a portion of the securities hereby registered publicly or through private transactions at prevailing market prices or at negotiated prices. We will not receive any of the proceeds from such sales of the Class B Subordinate Voting Shares. We will bear all costs, expenses and fees in connection with the registration of these securities, including with regard to compliance with state securities or “blue sky” laws. Cohen will bear all commissions and discounts, if any, attributable to their sale of Class B Subordinate Voting Shares. See the section titled “Plan of Distribution.”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Class B Subordinate Voting Shares are listed on the Nasdaq Global Market (“Nasdaq”) under the symbol “XNDU” and on the Toronto Stock Exchange (the “TSX”) under the symbol “XNDU”. On May 20, 2026, the last reported sales price of the Class B Subordinate Voting Shares on the Nasdaq was $14.13 and the TSX was C$19.46.</w:t>
      </w:r>
    </w:p>
    <w:p>
      <w:pPr>
        <w:spacing w:after="0" w:line="176"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of Nasdaq corporate governance rules. As a result, our shareholders may not have the same protections afforded to shareholders of companies that are subject to all Nasdaq corporate governance requirements.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review carefully the risks and uncertainties described under the heading “Risk Factors” beginning on page 8 of this prospectus, and under similar headings in any amendments or supplements to this prospectus.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the Securities and Exchange Commission, any state securities commission or the securities commission or regulatory authority of any Canadian province or territory has approved or disapproved of these securities, or determined if this prospectus is accurate or adequate. Any representation to the contrary is a criminal offense.</w:t>
      </w:r>
    </w:p>
    <w:p>
      <w:pPr>
        <w:spacing w:after="0" w:line="172"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The date of this prospectus is</w:t>
        <w:tab/>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220" w:type="dxa"/>
            <w:vAlign w:val="bottom"/>
            <w:tcBorders>
              <w:bottom w:val="single" w:sz="8" w:color="CCEEFF"/>
            </w:tcBorders>
            <w:gridSpan w:val="2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ABOUT XANADU</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7800" w:type="dxa"/>
            <w:vAlign w:val="bottom"/>
            <w:tcBorders>
              <w:bottom w:val="single" w:sz="8" w:color="CCEEFF"/>
            </w:tcBorders>
            <w:gridSpan w:val="21"/>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TRADEMARKS AND TRADE NAMES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PRESENTATION OF FINANCIAL INFORMATION</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175"/>
        </w:trPr>
        <w:tc>
          <w:tcPr>
            <w:tcW w:w="388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NON-GAAP FINANCIAL MEASURES</w:t>
            </w:r>
          </w:p>
        </w:tc>
        <w:tc>
          <w:tcPr>
            <w:tcW w:w="6580" w:type="dxa"/>
            <w:vAlign w:val="bottom"/>
            <w:tcBorders>
              <w:top w:val="single" w:sz="8" w:color="CCEEFF"/>
            </w:tcBorders>
            <w:gridSpan w:val="13"/>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EXCHANGE RATES</w:t>
            </w:r>
          </w:p>
        </w:tc>
        <w:tc>
          <w:tcPr>
            <w:tcW w:w="8860" w:type="dxa"/>
            <w:vAlign w:val="bottom"/>
            <w:tcBorders>
              <w:bottom w:val="single" w:sz="8" w:color="CCEEFF"/>
            </w:tcBorders>
            <w:gridSpan w:val="2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6"/>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CERTAIN DEFINED TERMS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66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viii</w:t>
            </w:r>
          </w:p>
        </w:tc>
      </w:tr>
      <w:tr>
        <w:trPr>
          <w:trHeight w:val="176"/>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180" w:type="dxa"/>
            <w:vAlign w:val="bottom"/>
            <w:tcBorders>
              <w:top w:val="single" w:sz="8" w:color="CCEEFF"/>
            </w:tcBorders>
            <w:gridSpan w:val="32"/>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COMMITTED EQUITY FINANCING</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176"/>
        </w:trPr>
        <w:tc>
          <w:tcPr>
            <w:tcW w:w="28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7620" w:type="dxa"/>
            <w:vAlign w:val="bottom"/>
            <w:tcBorders>
              <w:top w:val="single" w:sz="8" w:color="CCEEFF"/>
            </w:tcBorders>
            <w:gridSpan w:val="20"/>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104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175"/>
        </w:trPr>
        <w:tc>
          <w:tcPr>
            <w:tcW w:w="15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8880" w:type="dxa"/>
            <w:vAlign w:val="bottom"/>
            <w:tcBorders>
              <w:top w:val="single" w:sz="8" w:color="CCEEFF"/>
            </w:tcBorders>
            <w:gridSpan w:val="29"/>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176"/>
        </w:trPr>
        <w:tc>
          <w:tcPr>
            <w:tcW w:w="8920" w:type="dxa"/>
            <w:vAlign w:val="bottom"/>
            <w:tcBorders>
              <w:top w:val="single" w:sz="8" w:color="0000EE"/>
            </w:tcBorders>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5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000" w:type="dxa"/>
            <w:vAlign w:val="bottom"/>
            <w:tcBorders>
              <w:bottom w:val="single" w:sz="8" w:color="CCEEFF"/>
            </w:tcBorders>
            <w:gridSpan w:val="2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130</w:t>
            </w:r>
          </w:p>
        </w:tc>
      </w:tr>
      <w:tr>
        <w:trPr>
          <w:trHeight w:val="176"/>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BENEFICIAL OWNERSHIP OF THE COMPANY’S SECURITIES</w:t>
            </w:r>
          </w:p>
        </w:tc>
        <w:tc>
          <w:tcPr>
            <w:tcW w:w="5480" w:type="dxa"/>
            <w:vAlign w:val="bottom"/>
            <w:tcBorders>
              <w:bottom w:val="single" w:sz="8" w:color="CCEEFF"/>
            </w:tcBorders>
            <w:gridSpan w:val="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153</w:t>
            </w:r>
          </w:p>
        </w:tc>
      </w:tr>
      <w:tr>
        <w:trPr>
          <w:trHeight w:val="175"/>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940" w:type="dxa"/>
            <w:vAlign w:val="bottom"/>
            <w:tcBorders>
              <w:bottom w:val="single" w:sz="8" w:color="CCEEFF"/>
            </w:tcBorders>
            <w:gridSpan w:val="2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158</w:t>
            </w:r>
          </w:p>
        </w:tc>
      </w:tr>
      <w:tr>
        <w:trPr>
          <w:trHeight w:val="176"/>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520" w:type="dxa"/>
            <w:vAlign w:val="bottom"/>
            <w:tcBorders>
              <w:bottom w:val="single" w:sz="8" w:color="0000EE"/>
            </w:tcBorders>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INCOME TAX CONSIDERATIONS FOR U.S. HOLDERS</w:t>
            </w:r>
          </w:p>
        </w:tc>
        <w:tc>
          <w:tcPr>
            <w:tcW w:w="394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162</w:t>
            </w:r>
          </w:p>
        </w:tc>
      </w:tr>
      <w:tr>
        <w:trPr>
          <w:trHeight w:val="175"/>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MATERIAL CANADIAN TAX CONSIDERATIONS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167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400" w:type="dxa"/>
            <w:vAlign w:val="bottom"/>
            <w:tcBorders>
              <w:bottom w:val="single" w:sz="8" w:color="CCEEFF"/>
            </w:tcBorders>
            <w:gridSpan w:val="2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169</w:t>
            </w:r>
          </w:p>
        </w:tc>
      </w:tr>
      <w:tr>
        <w:trPr>
          <w:trHeight w:val="175"/>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EXPENSES RELATED TO THE OFFERING</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171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171</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000" w:type="dxa"/>
            <w:vAlign w:val="bottom"/>
            <w:tcBorders>
              <w:top w:val="single" w:sz="8" w:color="CCEEFF"/>
            </w:tcBorders>
            <w:gridSpan w:val="30"/>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171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380" w:type="dxa"/>
            <w:vAlign w:val="bottom"/>
            <w:tcBorders>
              <w:bottom w:val="single" w:sz="8" w:color="0000EE"/>
            </w:tcBorders>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SERVICE OF PROCESS AND ENFORCEABILITY OF CIVIL LIABILITIES UNDER U.S. SECURITIES LAWS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172</w:t>
            </w:r>
          </w:p>
        </w:tc>
      </w:tr>
      <w:tr>
        <w:trPr>
          <w:trHeight w:val="175"/>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172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046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INFORMATION</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6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II-1</w:t>
            </w:r>
          </w:p>
        </w:tc>
      </w:tr>
      <w:tr>
        <w:trPr>
          <w:trHeight w:val="243"/>
        </w:trPr>
        <w:tc>
          <w:tcPr>
            <w:tcW w:w="7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34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20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No one has been authorized to provide you with information that is different from that contained in this prospectus or any free writing prospectus filed by us. This prospectus is dated as of the date set forth on the cover hereof. You should not assume that the information contained in this prospectus is accurate as of any date other than that date.</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amendment or supplement to this prospectus or any free writing prospectus prepared by us or on our behalf. Any amendment or supplement may also add, update or change information included in this prospectus. Any statement contained in this prospectus will be deemed to be modified or superseded for purposes of this prospectus to the extent that a statement contained in such amendment or supplement modifies or supersedes such statement. Any statement so modified will be deemed to constitute a part of this prospectus only as so modified, and any statement so superseded will be deemed not to constitute a part of this prospectus. See “Where You Can Find More Information.”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and you may obtain copies of those documents as described under “Where You Can Find More Information.”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amounts that appear in this Registration Statement may not sum due to rounding.</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section titled “Management’s Discussion and Analysis of Financial Condition and Results of Operations” (“MD&amp;A”) of this prospectus was previously included in our Current Report on Form 6-K, filed with the U.S. Securities and Exchange Commission (the “SEC”) on May 14, 2026. The MD&amp;A section contains disclosure that was current as of May 14, 2026 and cross-references to disclosures in our Annual Report on Form 20-F for the year ended December 31, 2025 (the “Annual Report”), filed with the SEC on April 9, 2026. For purposes of this prospectus, the MD&amp;A section should be read together with this prospectus. To the extent that any disclosure in the MD&amp;A section is inconsistent with the disclosures set forth in this prospectus, the disclosures in this prospectus shall supersede and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XANADU</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used in this prospectus, references to the “Company”, “Xanadu,” “we,” “us,” or “our,” refer to Xanadu Quantum Technologies Limited following completion of the Business Combination, which was completed on March 26, 2026. As a result of the Business Combination, Old Xanadu is a wholly-owned subsidiary of Xanadu. Discussions in this prospectus regarding the business of Xanadu prior to March 26, 2026 refer to the business carried on by Old Xanadu.</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and business, as well as data regarding market research, estimates, forecasts and projections prepared by our management. Information that is based on market research, estimates, forecasts, projections,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industry, business, market, and other data from reports, research surveys, studies, and similar data prepared by market research firms and other third parties, industry and general publications, government data, and similar sources.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For the avoidance of all doubt, nothing stated in this paragraph operates to relieve any party from liability for any misrepresentation contained in this prospectus under applicable Canadian securities law. See the section titled “Cautionary Note Regarding Forward-Looking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publications or reports generated by third parties, or other publicly available information, as well as other information based on our internal sources.</w:t>
      </w:r>
    </w:p>
    <w:p>
      <w:pPr>
        <w:spacing w:after="0" w:line="16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Capgemini Research Institute, </w:t>
      </w:r>
      <w:r>
        <w:rPr>
          <w:rFonts w:ascii="Times New Roman" w:cs="Times New Roman" w:eastAsia="Times New Roman" w:hAnsi="Times New Roman"/>
          <w:sz w:val="18"/>
          <w:szCs w:val="18"/>
          <w:i w:val="1"/>
          <w:iCs w:val="1"/>
          <w:color w:val="auto"/>
        </w:rPr>
        <w:t>Executive Companion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Techno Vision</w:t>
      </w:r>
      <w:r>
        <w:rPr>
          <w:rFonts w:ascii="Times New Roman" w:cs="Times New Roman" w:eastAsia="Times New Roman" w:hAnsi="Times New Roman"/>
          <w:sz w:val="18"/>
          <w:szCs w:val="18"/>
          <w:color w:val="auto"/>
        </w:rPr>
        <w:t>,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Capgemini Research Institute, </w:t>
      </w:r>
      <w:r>
        <w:rPr>
          <w:rFonts w:ascii="Times New Roman" w:cs="Times New Roman" w:eastAsia="Times New Roman" w:hAnsi="Times New Roman"/>
          <w:sz w:val="18"/>
          <w:szCs w:val="18"/>
          <w:i w:val="1"/>
          <w:iCs w:val="1"/>
          <w:color w:val="auto"/>
        </w:rPr>
        <w:t>Seizing the Commercial Value of Quantum Technology</w:t>
      </w:r>
      <w:r>
        <w:rPr>
          <w:rFonts w:ascii="Times New Roman" w:cs="Times New Roman" w:eastAsia="Times New Roman" w:hAnsi="Times New Roman"/>
          <w:sz w:val="18"/>
          <w:szCs w:val="18"/>
          <w:color w:val="auto"/>
        </w:rPr>
        <w:t>,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Capgemini Research Institute, </w:t>
      </w:r>
      <w:r>
        <w:rPr>
          <w:rFonts w:ascii="Times New Roman" w:cs="Times New Roman" w:eastAsia="Times New Roman" w:hAnsi="Times New Roman"/>
          <w:sz w:val="18"/>
          <w:szCs w:val="18"/>
          <w:i w:val="1"/>
          <w:iCs w:val="1"/>
          <w:color w:val="auto"/>
        </w:rPr>
        <w:t>Quantum Technologies: How to Prepare Your Organization for a Quantum Advantage Now</w:t>
      </w:r>
      <w:r>
        <w:rPr>
          <w:rFonts w:ascii="Times New Roman" w:cs="Times New Roman" w:eastAsia="Times New Roman" w:hAnsi="Times New Roman"/>
          <w:sz w:val="18"/>
          <w:szCs w:val="18"/>
          <w:color w:val="auto"/>
        </w:rPr>
        <w:t>, 2022.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and our subsidiaries own or have rights to various trademarks, service marks and trade names that they use in connection with the operation of their respective businesses, including “Xanadu”, “PennyLane” and “Catalyst”. This prospectus also contains trademarks, service marks and trade names of third parties, which are the property of their respective owners. The use or display of third parties’ trademarks, service marks, trade names or products in this prospectus is not intended to create, and does not imply, a relationship with Xanadu, or an endorsement or sponsorship by or of Xanadu. Solely for</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convenience, the trademarks, service marks and trade names referred to in this prospectus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Xanadu will not assert, to the fullest extent under applicable law, its rights or the right of the applicable licensor to these trademarks, service marks and trade names.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contains: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Xanadu Quantum Technologies Limited, which comprise the balance sheet as of December 31, 2025, the related statements of operations and comprehensive loss, shareholders’ equity and cash flows for the period from October 2, 2025 (Inception) through December 31, 2025;</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condensed consolidated financial statements of Xanadu Quantum Technologies Limited, which comprise the condensed consolidated balance sheet as of March 31, 2026, the related unaudited condensed consolidated statements of operations and comprehensive loss, shareholders’ equity and cash flows for the three months ended March 31, 2026;</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Xanadu Quantum Technologies Inc., which comprise the consolidated balance sheets as of December 31, 2025 and December 31, 2024, the related consolidated statements of operations and comprehensive loss, shareholders’ equity and cash flows for each of the years in the three-year period ended December 31, 2025;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combined financial information.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indicated otherwise, financial data presented in this prospectus has been taken from the audited consolidated financial statements or the unaudited condensed consolidated financial statements Xanadu and Old Xanadu, as applicable, included in this prospectus. Unless otherwise indicated, financial information of CHAC, Xanadu and Old Xanadu have been prepared in accordance with accounting principles generally accepted in the United States (“U.S. GAAP”). In this prospectus, unless otherwise specified, all monetary amounts are in U.S. dollars, all references to “$,” “US$,” “USD” and “dollars” mean U.S. dollars and all references to “C$” and “CAD” mean Canadian dollars.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certain financial information using non-GAAP measures that are not defined under U.S. GAAP. We believe that these measures provide information that is useful to investors and others in understanding our performance and facilitate a comparison of our results from period to period. These measures should not be considered in isolation or as a substitute for measures prepared in accordance with U.S. GAAP. Readers are cautioned that our non-GAAP financial measures are not standardized measures under U.S. GAAP, reflect the exercise of judgment by our management and may not be comparable to similar financial measures disclosed by other entities.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used in this prospectus, please see the section titled “Management’s Discussion and Analysis of Financial Condition and Results of Operations—Results and Reconciliation of Non-GAAP Financial Measure Adjusted EBITDA.”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reporting currency is the U.S. dollar and our functional currency is the U.S. dollar. The functional currency of our international subsidiaries is the currency of their primary economic environment. The following table sets forth, for the periods indicated, the high, low, average and period-end daily rates of exchange for one U.S. dollar, expressed in Canadian dollars, published by the Bank of Canada. These rates are provided solely for convenience and are not necessarily the exchange rates used in the preparation of our financial statements and the financial statements of our subsidiaries.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12 Months Ended December 31,</w:t>
            </w:r>
          </w:p>
        </w:tc>
      </w:tr>
      <w:tr>
        <w:trPr>
          <w:trHeight w:val="236"/>
        </w:trPr>
        <w:tc>
          <w:tcPr>
            <w:tcW w:w="73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1.4416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1.3558</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1.3316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the period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1.3978</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1.3698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1.3497</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1.3706</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1.4389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1.3226</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4128"/>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prospectus to:</w:t>
      </w:r>
    </w:p>
    <w:p>
      <w:pPr>
        <w:spacing w:after="0" w:line="221" w:lineRule="exact"/>
        <w:rPr>
          <w:sz w:val="20"/>
          <w:szCs w:val="20"/>
          <w:color w:val="auto"/>
        </w:rPr>
      </w:pPr>
    </w:p>
    <w:p>
      <w:pPr>
        <w:jc w:val="both"/>
        <w:ind w:left="328" w:hanging="328"/>
        <w:spacing w:after="0" w:line="26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an arrangement under Section 182 of the OBCA on the terms and subject to the conditions set out in the Plan of Arrangement, subject to any amendments or variations to the Plan of Arrangement made in accordance with the terms of the Business Combination Agreement and the Plan of Arrangement or made at the direction of the Court in the Final Order with the prior written consent of CHAC, Xanadu and Old Xanadu, such consent not to be unreasonably withheld, conditioned or delayed.</w:t>
      </w:r>
    </w:p>
    <w:p>
      <w:pPr>
        <w:spacing w:after="0" w:line="17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means the audit committee of the Board.</w:t>
      </w:r>
    </w:p>
    <w:p>
      <w:pPr>
        <w:spacing w:after="0" w:line="225"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Aurora</w:t>
      </w:r>
      <w:r>
        <w:rPr>
          <w:rFonts w:ascii="Times New Roman" w:cs="Times New Roman" w:eastAsia="Times New Roman" w:hAnsi="Times New Roman"/>
          <w:sz w:val="18"/>
          <w:szCs w:val="18"/>
          <w:color w:val="auto"/>
        </w:rPr>
        <w:t>” is Xanadu’s networked, modular, and scalable photonic quantum computer demonstrating real-time error detection and the interconnection of multiple photonic racks through optical fiber.</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Borealis</w:t>
      </w:r>
      <w:r>
        <w:rPr>
          <w:rFonts w:ascii="Times New Roman" w:cs="Times New Roman" w:eastAsia="Times New Roman" w:hAnsi="Times New Roman"/>
          <w:sz w:val="18"/>
          <w:szCs w:val="18"/>
          <w:color w:val="auto"/>
        </w:rPr>
        <w:t>” is Xanadu’s 216-qubit photonic quantum computer that demonstrated quantum computational advantage in 2022.</w:t>
      </w:r>
    </w:p>
    <w:p>
      <w:pPr>
        <w:spacing w:after="0" w:line="225"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combination of Xanadu, Old Xanadu and CHAC pursuant to and subject to the terms and conditions of the Business Combination Agreement, and the Plan of Arrangement contemplated thereby.</w:t>
      </w:r>
    </w:p>
    <w:p>
      <w:pPr>
        <w:spacing w:after="0" w:line="15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the business combination agreement dated November 3, 2025 between Xanadu, Old Xanadu and CHAC.</w:t>
      </w:r>
    </w:p>
    <w:p>
      <w:pPr>
        <w:spacing w:after="0" w:line="15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Crane Harbor</w:t>
      </w:r>
      <w:r>
        <w:rPr>
          <w:rFonts w:ascii="Times New Roman" w:cs="Times New Roman" w:eastAsia="Times New Roman" w:hAnsi="Times New Roman"/>
          <w:sz w:val="18"/>
          <w:szCs w:val="18"/>
          <w:color w:val="auto"/>
        </w:rPr>
        <w:t>” means Xanadu Quantum Technologies Former SPAC Inc., formerly, Crane Harbor Acquisition Corp., being a special purpose acquisition corporation prior to completion of the Business Combination.</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CHAC Class A Shares</w:t>
      </w:r>
      <w:r>
        <w:rPr>
          <w:rFonts w:ascii="Times New Roman" w:cs="Times New Roman" w:eastAsia="Times New Roman" w:hAnsi="Times New Roman"/>
          <w:sz w:val="18"/>
          <w:szCs w:val="18"/>
          <w:color w:val="auto"/>
        </w:rPr>
        <w:t>” means CHAC’s Class A ordinary shares, par value US$0.0001.</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CHAC Class B Shares</w:t>
      </w:r>
      <w:r>
        <w:rPr>
          <w:rFonts w:ascii="Times New Roman" w:cs="Times New Roman" w:eastAsia="Times New Roman" w:hAnsi="Times New Roman"/>
          <w:sz w:val="18"/>
          <w:szCs w:val="18"/>
          <w:color w:val="auto"/>
        </w:rPr>
        <w:t>” means CHAC’s Class B ordinary shares, par value US$0.0001.</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CHAC IPO</w:t>
      </w:r>
      <w:r>
        <w:rPr>
          <w:rFonts w:ascii="Times New Roman" w:cs="Times New Roman" w:eastAsia="Times New Roman" w:hAnsi="Times New Roman"/>
          <w:sz w:val="18"/>
          <w:szCs w:val="18"/>
          <w:color w:val="auto"/>
        </w:rPr>
        <w:t>” means CHAC’s initial public offering consummated on April 25, 2025.</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CHAC Shares</w:t>
      </w:r>
      <w:r>
        <w:rPr>
          <w:rFonts w:ascii="Times New Roman" w:cs="Times New Roman" w:eastAsia="Times New Roman" w:hAnsi="Times New Roman"/>
          <w:sz w:val="18"/>
          <w:szCs w:val="18"/>
          <w:color w:val="auto"/>
        </w:rPr>
        <w:t>” means the CHAC Class A Shares and CHAC Class B Shares.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CHAC Rights”</w:t>
      </w:r>
      <w:r>
        <w:rPr>
          <w:rFonts w:ascii="Times New Roman" w:cs="Times New Roman" w:eastAsia="Times New Roman" w:hAnsi="Times New Roman"/>
          <w:sz w:val="18"/>
          <w:szCs w:val="18"/>
          <w:color w:val="auto"/>
        </w:rPr>
        <w:t xml:space="preserve"> means each outstanding right of CHAC that entitled the holder, upon exchange, to receive one-tenth of one CHAC Class A Share.</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Multiple Voting Shares</w:t>
      </w:r>
      <w:r>
        <w:rPr>
          <w:rFonts w:ascii="Times New Roman" w:cs="Times New Roman" w:eastAsia="Times New Roman" w:hAnsi="Times New Roman"/>
          <w:sz w:val="18"/>
          <w:szCs w:val="18"/>
          <w:color w:val="auto"/>
        </w:rPr>
        <w:t>” means the multiple voting shares in the capital of Xanadu.</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Subordinate Voting Shares</w:t>
      </w:r>
      <w:r>
        <w:rPr>
          <w:rFonts w:ascii="Times New Roman" w:cs="Times New Roman" w:eastAsia="Times New Roman" w:hAnsi="Times New Roman"/>
          <w:sz w:val="18"/>
          <w:szCs w:val="18"/>
          <w:color w:val="auto"/>
        </w:rPr>
        <w:t>” means the subordinate voting shares in the capital of Xanadu.</w:t>
      </w:r>
    </w:p>
    <w:p>
      <w:pPr>
        <w:spacing w:after="0" w:line="225"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transactions contemplated by the Business Combination Agreement at 12:01 AM (Toronto time) on March 26, 2026.</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Cohen</w:t>
      </w:r>
      <w:r>
        <w:rPr>
          <w:rFonts w:ascii="Times New Roman" w:cs="Times New Roman" w:eastAsia="Times New Roman" w:hAnsi="Times New Roman"/>
          <w:sz w:val="18"/>
          <w:szCs w:val="18"/>
          <w:color w:val="auto"/>
        </w:rPr>
        <w:t>” means Cohen &amp; Company Securities,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Continuance</w:t>
      </w:r>
      <w:r>
        <w:rPr>
          <w:rFonts w:ascii="Times New Roman" w:cs="Times New Roman" w:eastAsia="Times New Roman" w:hAnsi="Times New Roman"/>
          <w:sz w:val="18"/>
          <w:szCs w:val="18"/>
          <w:color w:val="auto"/>
        </w:rPr>
        <w:t>” means the continuance of CHAC from the Companies Act (Cayman Islands) to the Business Corporations Act (Ontario).</w:t>
      </w:r>
    </w:p>
    <w:p>
      <w:pPr>
        <w:spacing w:after="0" w:line="200" w:lineRule="exact"/>
        <w:rPr>
          <w:sz w:val="20"/>
          <w:szCs w:val="20"/>
          <w:color w:val="auto"/>
        </w:rPr>
      </w:pPr>
    </w:p>
    <w:p>
      <w:pPr>
        <w:spacing w:after="0" w:line="24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3" w:right="339" w:bottom="1440" w:gutter="0" w:footer="0" w:header="0"/>
        </w:sectPr>
      </w:pPr>
    </w:p>
    <w:bookmarkStart w:id="7" w:name="page8"/>
    <w:bookmarkEnd w:id="7"/>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that the Arrangement was completed.</w:t>
      </w:r>
    </w:p>
    <w:p>
      <w:pPr>
        <w:spacing w:after="0" w:line="225"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MVS Warrants</w:t>
      </w:r>
      <w:r>
        <w:rPr>
          <w:rFonts w:ascii="Times New Roman" w:cs="Times New Roman" w:eastAsia="Times New Roman" w:hAnsi="Times New Roman"/>
          <w:sz w:val="18"/>
          <w:szCs w:val="18"/>
          <w:color w:val="auto"/>
        </w:rPr>
        <w:t>” means the SFTrust Warrants that were exchanged for warrants to purchase Class A Multiple Voting Shares evidenced by the warrant certificates issued by Xanadu in favor of SFTrust Holdings, LLC, each dated as of March 26, 2026.</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xml:space="preserve">” means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as amended from time to time.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Xanadu</w:t>
      </w:r>
      <w:r>
        <w:rPr>
          <w:rFonts w:ascii="Times New Roman" w:cs="Times New Roman" w:eastAsia="Times New Roman" w:hAnsi="Times New Roman"/>
          <w:sz w:val="18"/>
          <w:szCs w:val="18"/>
          <w:color w:val="auto"/>
        </w:rPr>
        <w:t>” means Xanadu Quantum Technologies Inc., a corporation originally incorporated under the Canada Business Corporations Act on December 7, 2016 and subsequently continued under the OBCA, that was acquired by Xanadu on March 26, 2026 pursuant to the Business Combination.</w:t>
      </w:r>
    </w:p>
    <w:p>
      <w:pPr>
        <w:spacing w:after="0" w:line="17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Xanadu Non-Voting Common Shares</w:t>
      </w:r>
      <w:r>
        <w:rPr>
          <w:rFonts w:ascii="Times New Roman" w:cs="Times New Roman" w:eastAsia="Times New Roman" w:hAnsi="Times New Roman"/>
          <w:sz w:val="18"/>
          <w:szCs w:val="18"/>
          <w:color w:val="auto"/>
        </w:rPr>
        <w:t>” means each non-voting common share in the capital of Old Xanadu.</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Xanadu Non-Voting Option</w:t>
      </w:r>
      <w:r>
        <w:rPr>
          <w:rFonts w:ascii="Times New Roman" w:cs="Times New Roman" w:eastAsia="Times New Roman" w:hAnsi="Times New Roman"/>
          <w:sz w:val="18"/>
          <w:szCs w:val="18"/>
          <w:color w:val="auto"/>
        </w:rPr>
        <w:t>” means an option to acquire an Old Xanadu Non-Voting Common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Xanadu Preferred Share</w:t>
      </w:r>
      <w:r>
        <w:rPr>
          <w:rFonts w:ascii="Times New Roman" w:cs="Times New Roman" w:eastAsia="Times New Roman" w:hAnsi="Times New Roman"/>
          <w:sz w:val="18"/>
          <w:szCs w:val="18"/>
          <w:color w:val="auto"/>
        </w:rPr>
        <w:t>” means each preferred share in the capital of Old Xanadu.</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Xanadu Voting Common Shares</w:t>
      </w:r>
      <w:r>
        <w:rPr>
          <w:rFonts w:ascii="Times New Roman" w:cs="Times New Roman" w:eastAsia="Times New Roman" w:hAnsi="Times New Roman"/>
          <w:sz w:val="18"/>
          <w:szCs w:val="18"/>
          <w:color w:val="auto"/>
        </w:rPr>
        <w:t>” means each voting common share in the capital of Old Xanadu.</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Xanadu Voting Option</w:t>
      </w:r>
      <w:r>
        <w:rPr>
          <w:rFonts w:ascii="Times New Roman" w:cs="Times New Roman" w:eastAsia="Times New Roman" w:hAnsi="Times New Roman"/>
          <w:sz w:val="18"/>
          <w:szCs w:val="18"/>
          <w:color w:val="auto"/>
        </w:rPr>
        <w:t>” means an option to acquire an Old Xanadu Voting Common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Xanadu Warrants</w:t>
      </w:r>
      <w:r>
        <w:rPr>
          <w:rFonts w:ascii="Times New Roman" w:cs="Times New Roman" w:eastAsia="Times New Roman" w:hAnsi="Times New Roman"/>
          <w:sz w:val="18"/>
          <w:szCs w:val="18"/>
          <w:color w:val="auto"/>
        </w:rPr>
        <w:t>” means, collectively the SFTrust Warrants and the RBC Warrants.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OSC</w:t>
      </w:r>
      <w:r>
        <w:rPr>
          <w:rFonts w:ascii="Times New Roman" w:cs="Times New Roman" w:eastAsia="Times New Roman" w:hAnsi="Times New Roman"/>
          <w:sz w:val="18"/>
          <w:szCs w:val="18"/>
          <w:color w:val="auto"/>
        </w:rPr>
        <w:t>” means the Ontario Securities Commission.</w:t>
      </w:r>
    </w:p>
    <w:p>
      <w:pPr>
        <w:spacing w:after="0" w:line="225"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PennyLane</w:t>
      </w:r>
      <w:r>
        <w:rPr>
          <w:rFonts w:ascii="Times New Roman" w:cs="Times New Roman" w:eastAsia="Times New Roman" w:hAnsi="Times New Roman"/>
          <w:sz w:val="18"/>
          <w:szCs w:val="18"/>
          <w:color w:val="auto"/>
        </w:rPr>
        <w:t>” is Xanadu’s open-source quantum programming software development kit enabling hybrid quantum — classical algorithm development across hardware platforms.</w:t>
      </w:r>
    </w:p>
    <w:p>
      <w:pPr>
        <w:spacing w:after="0" w:line="15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Financing</w:t>
      </w:r>
      <w:r>
        <w:rPr>
          <w:rFonts w:ascii="Times New Roman" w:cs="Times New Roman" w:eastAsia="Times New Roman" w:hAnsi="Times New Roman"/>
          <w:sz w:val="18"/>
          <w:szCs w:val="18"/>
          <w:color w:val="auto"/>
        </w:rPr>
        <w:t>” means the private placement consummated in connection with the Business Combination for aggregate gross proceeds of approximately $275.0 million.</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means the investors party to the subscription agreements providing for the PIPE Financing.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the plan of arrangement under section 182 of the OBCA.</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means the preferred shares in the capital of Xanadu.</w:t>
      </w:r>
    </w:p>
    <w:p>
      <w:pPr>
        <w:spacing w:after="0" w:line="225"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Quantum Benchmarking Initiative</w:t>
      </w:r>
      <w:r>
        <w:rPr>
          <w:rFonts w:ascii="Times New Roman" w:cs="Times New Roman" w:eastAsia="Times New Roman" w:hAnsi="Times New Roman"/>
          <w:sz w:val="18"/>
          <w:szCs w:val="18"/>
          <w:color w:val="auto"/>
        </w:rPr>
        <w:t>” is a U.S. Defense Advanced Research Projects Agency (“</w:t>
      </w:r>
      <w:r>
        <w:rPr>
          <w:rFonts w:ascii="Times New Roman" w:cs="Times New Roman" w:eastAsia="Times New Roman" w:hAnsi="Times New Roman"/>
          <w:sz w:val="18"/>
          <w:szCs w:val="18"/>
          <w:b w:val="1"/>
          <w:bCs w:val="1"/>
          <w:color w:val="auto"/>
        </w:rPr>
        <w:t>DARPA</w:t>
      </w:r>
      <w:r>
        <w:rPr>
          <w:rFonts w:ascii="Times New Roman" w:cs="Times New Roman" w:eastAsia="Times New Roman" w:hAnsi="Times New Roman"/>
          <w:sz w:val="18"/>
          <w:szCs w:val="18"/>
          <w:color w:val="auto"/>
        </w:rPr>
        <w:t>”) led program assessing and validating quantum computing system performance against standardized metrics.</w:t>
      </w:r>
    </w:p>
    <w:p>
      <w:pPr>
        <w:spacing w:after="0" w:line="15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RBC Warrants</w:t>
      </w:r>
      <w:r>
        <w:rPr>
          <w:rFonts w:ascii="Times New Roman" w:cs="Times New Roman" w:eastAsia="Times New Roman" w:hAnsi="Times New Roman"/>
          <w:sz w:val="18"/>
          <w:szCs w:val="18"/>
          <w:color w:val="auto"/>
        </w:rPr>
        <w:t>” means the warrants to purchase Old Xanadu Non-Voting Common Shares evidenced by the warrant certificate issued by Old Xanadu in favor of Royal Bank of Canada, dated as of May 23, 2023.</w:t>
      </w:r>
    </w:p>
    <w:p>
      <w:pPr>
        <w:spacing w:after="0" w:line="154"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Refinery</w:t>
      </w:r>
      <w:r>
        <w:rPr>
          <w:rFonts w:ascii="Times New Roman" w:cs="Times New Roman" w:eastAsia="Times New Roman" w:hAnsi="Times New Roman"/>
          <w:sz w:val="18"/>
          <w:szCs w:val="18"/>
          <w:color w:val="auto"/>
        </w:rPr>
        <w:t>” is a photonic subsystem responsible for improving the squeezing quality and fidelity of heralded Gottesman-Kitaev-Preskill (“</w:t>
      </w:r>
      <w:r>
        <w:rPr>
          <w:rFonts w:ascii="Times New Roman" w:cs="Times New Roman" w:eastAsia="Times New Roman" w:hAnsi="Times New Roman"/>
          <w:sz w:val="18"/>
          <w:szCs w:val="18"/>
          <w:b w:val="1"/>
          <w:bCs w:val="1"/>
          <w:color w:val="auto"/>
        </w:rPr>
        <w:t>GKP</w:t>
      </w:r>
      <w:r>
        <w:rPr>
          <w:rFonts w:ascii="Times New Roman" w:cs="Times New Roman" w:eastAsia="Times New Roman" w:hAnsi="Times New Roman"/>
          <w:sz w:val="18"/>
          <w:szCs w:val="18"/>
          <w:color w:val="auto"/>
        </w:rPr>
        <w:t>”) states.</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00" w:lineRule="exact"/>
        <w:rPr>
          <w:sz w:val="20"/>
          <w:szCs w:val="20"/>
          <w:color w:val="auto"/>
        </w:rPr>
      </w:pPr>
    </w:p>
    <w:p>
      <w:pPr>
        <w:spacing w:after="0" w:line="24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3" w:right="339" w:bottom="1440" w:gutter="0" w:footer="0" w:header="0"/>
        </w:sectPr>
      </w:pPr>
    </w:p>
    <w:bookmarkStart w:id="8" w:name="page9"/>
    <w:bookmarkEnd w:id="8"/>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means the Standby Equity Purchase Agreement, dated May 20, 2026, by and between the Company and Yorkville.</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SFTrust Warrants</w:t>
      </w:r>
      <w:r>
        <w:rPr>
          <w:rFonts w:ascii="Times New Roman" w:cs="Times New Roman" w:eastAsia="Times New Roman" w:hAnsi="Times New Roman"/>
          <w:sz w:val="18"/>
          <w:szCs w:val="18"/>
          <w:color w:val="auto"/>
        </w:rPr>
        <w:t>” means, collectively, (i) the warrants to purchase Old Xanadu Voting Common Shares evidenced by the warrant certificate issued by Old Xanadu in favor of SFTrust Holdings, LLC dated as of January 15, 2018, (ii) the warrants to purchase Old Xanadu Voting Common Shares evidenced by the warrant certificate issued by Old Xanadu in favor of SFTrust Holdings, LLC dated as of July 8, 2019, and (iii) the warrants to purchase Old Xanadu Voting Common Shares evidenced by the warrant certificate issued by Old Xanadu in favor of SFTrust Holdings, LLC dated as of October 21, 2021.</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at any time, the holders of the Shares and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any one of them.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together, the Class A Multiple Voting Shares and Class B Subordinate Voting Shares.</w:t>
      </w:r>
    </w:p>
    <w:p>
      <w:pPr>
        <w:spacing w:after="0" w:line="225"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SIF Loan</w:t>
      </w:r>
      <w:r>
        <w:rPr>
          <w:rFonts w:ascii="Times New Roman" w:cs="Times New Roman" w:eastAsia="Times New Roman" w:hAnsi="Times New Roman"/>
          <w:sz w:val="18"/>
          <w:szCs w:val="18"/>
          <w:color w:val="auto"/>
        </w:rPr>
        <w:t>” means the Strategic Innovation Fund agreement, by and between Old Xanadu and His Majesty the King in Right of Canada as represented by the Minister of Industry, as amended.</w:t>
      </w:r>
    </w:p>
    <w:p>
      <w:pPr>
        <w:spacing w:after="0" w:line="154"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Letter Agreement</w:t>
      </w:r>
      <w:r>
        <w:rPr>
          <w:rFonts w:ascii="Times New Roman" w:cs="Times New Roman" w:eastAsia="Times New Roman" w:hAnsi="Times New Roman"/>
          <w:sz w:val="18"/>
          <w:szCs w:val="18"/>
          <w:color w:val="auto"/>
        </w:rPr>
        <w:t>” means that certain Sponsor Letter Agreement, entered into on November 3, 2025 between the Sponsor, CHAC, Old Xanadu and Xanadu.</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Crane Harbor Sponsor, LLC, the sponsor of CHAC.</w:t>
      </w:r>
    </w:p>
    <w:p>
      <w:pPr>
        <w:spacing w:after="0" w:line="225"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SVS Warrants</w:t>
      </w:r>
      <w:r>
        <w:rPr>
          <w:rFonts w:ascii="Times New Roman" w:cs="Times New Roman" w:eastAsia="Times New Roman" w:hAnsi="Times New Roman"/>
          <w:sz w:val="18"/>
          <w:szCs w:val="18"/>
          <w:color w:val="auto"/>
        </w:rPr>
        <w:t>” means the RBC Warrants that were exchanged for warrants to purchase Class B Subordinate Voting Shares evidenced by the warrant certificate issued by Xanadu in favor of Royal Bank of Canada, dated as of March 26, 2026.</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means the Toronto Stock Exchange.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Xanadu</w:t>
      </w:r>
      <w:r>
        <w:rPr>
          <w:rFonts w:ascii="Times New Roman" w:cs="Times New Roman" w:eastAsia="Times New Roman" w:hAnsi="Times New Roman"/>
          <w:sz w:val="18"/>
          <w:szCs w:val="18"/>
          <w:color w:val="auto"/>
        </w:rPr>
        <w:t>” means Xanadu Quantum Technologies Limited, a corporation incorporated under the OBCA.</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Yorkville</w:t>
      </w:r>
      <w:r>
        <w:rPr>
          <w:rFonts w:ascii="Times New Roman" w:cs="Times New Roman" w:eastAsia="Times New Roman" w:hAnsi="Times New Roman"/>
          <w:sz w:val="18"/>
          <w:szCs w:val="18"/>
          <w:color w:val="auto"/>
        </w:rPr>
        <w:t>” means YA II PN, LTD., a Cayman Islands exempt limited partnership.</w:t>
      </w:r>
    </w:p>
    <w:p>
      <w:pPr>
        <w:spacing w:after="0" w:line="200" w:lineRule="exact"/>
        <w:rPr>
          <w:sz w:val="20"/>
          <w:szCs w:val="20"/>
          <w:color w:val="auto"/>
        </w:rPr>
      </w:pPr>
    </w:p>
    <w:p>
      <w:pPr>
        <w:spacing w:after="0" w:line="24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Some of the statements contained in this prospectus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The words “anticipate,” “believe,” “budget,” “can,” “continue,” “could,” “estimate,” “expect,” “forecast,” “indicative,” “intends,” “may,” “might,” “outlook,” “plan,” “possible,” “potential,” “predict,” “project,” “prospect,” “schedule,” “seek,” “should,” “strategy,” “target,” “timeline,” “would” and similar expressions and positive and negative variations thereof may identify forward-looking statements, but the absence of these words does not mean that a statement is not forward-looking.</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 our financial performance following the Business Combination;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create quantum computers that are useful and available to people everywhere;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Jumpstart Our Business Startups Act of 2012, as amended (the “JOBS Act”); our future capital requirements and sources and uses of cash; our ability to obtain funding for our operations and future growth; expansion plans and opportunities; our ability to draw down amounts under the SEPA, the availability and terms thereof and use of proceeds therefrom; and the outcome of any known and unknown litigation and regulatory proceedings.</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uncertainty;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global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 on attractive terms and to commercialize our quantum computing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Class B Subordinate Voting Shares on the Nasdaq, the TSX or any other national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in our employee retention, changes in personnel and availability of qualified personnel, including as a result of the Business Combination;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changes in governmental regulations or the enforcement thereof, tax laws and rates, accounting guidance and similar matters in regions in which we operate or will operate in the future;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governmental or regulatory proceedings, investigations or inquiries involving us, including in relation to the Business Combination;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national or local economic, social or political conditions that could adversely affect us and our business;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and our corporate policies and procedures;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experience of certain members of our management team in operating a public company in the United States and Canada;</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and liquidity of the Class B Subordinate Voting Shares;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any unforeseen liabilities of the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lender consent, industry partner and other third-party consents and approvals, when required;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market opportunity and market growth;</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and ability to maintain and enter into new contracts, awards and other relationships, partnerships or collaborations with other businesses, governments and government entities;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quantum computing technology to achieve quantum supremacy;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timing and product development milestones on our product roadmap;</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time during which we will be an emerging growth company under the JOBS Act;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and future growth, and our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including risks related to the rollout of the Company’s business and expansion strategy;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required approvals from regulatory authorities;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conditions required to issue Class B Subordinate Voting Shares pursuant to any equity financing arrangements;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price of the Class B Subordinate Voting Shares that may result from future issuances or sales of Shares;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of holders of Class B Subordinate Voting Shares resulting from future issuances of Shares, including pursuant to equity financing arrangements, the extent of which cannot be guaranteed; and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set forth in this prospectus in the section titled “Risk Factors.”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11" w:name="page12"/>
    <w:bookmarkEnd w:id="1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herein may prove incorrect. These forward-looking statements speak only as of the date of this prospectus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titled “Risk Factors” in this prospectus and our filings with the U.S. Securities and Exchange Commission (www.sec.gov) and Canadian Securities Administrators (www.sedarplus.ca). There may be additional risks that we do not presently know or that we currently believe are immaterial, that could also cause actual results to differ from those contained in the forward-looking statements.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Such forward-looking statements are based on a number of estimates and assumptions that we believe are reasonable when made including, but not limited to, the perceived benefits of the Business Combination; the effects of the Business Combination on Old Xanadu; assumptions that none of the risks identified in this prospectus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025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SUMMARY OF PROSPECTUS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in this prospectus and does not contain all of the information that is important to you. This summary is qualified in its entirety by the more detailed information included in this prospectus. Before making your investment decision with respect to our Class B Subordinate Voting Shares, you should read carefully this entire prospectus, including the accompanying financial statements of Xanadu Quantum Technologies Limited and Xanadu Quantum Technologies Inc. Please see the section titled “Where You Can Find More Information” elsewhere in this prospectus.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a leading quantum computing company developing full-stack quantum computing solutions for enterprise and government customers around the world.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mission is to build quantum computers that are useful and available to people everywhere. To achieve this, we are pursuing a full-stack strategy that integrates proprietary photonic quantum hardware with a modality-agnostic software platform. Our hardware platform, demonstrated through the Borealis and Aurora quantum computers, is designed to scale from today’s networked, modular systems toward large-scale fault-tolerant machines with hundreds of thousands of physical qubits and hundreds to thousands of logical qubits. At the same time, our software stack, anchored by PennyLane, has become one of the world’s most widely used quantum application development frameworks, enabling researchers, developers, and enterprises to program quantum circuits across all major modalities and cloud platforms.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quantum computing hardware is designed to solve problems that are intractable for classical computing. We are pioneering an approach to developing a scaled quantum computer that leverages light as the medium for computation, commonly referred to as the photonics modality. We believe that the photonics modality, and the use of individual particles of light, or photons, offers the most practical and scalable path to building universal, fault-tolerant quantum computers and, in particular, addresses the coherence problems impacting the scalability of competing matter-based modalities, such as superconducting, trapped ion, neutral atom, and other approaches.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quantum software includes our branded PennyLane software offering, which is our open-source Quantum Programming Software Development Kit (“SDK”), whereby commercial and government users can program, write and store quantum computing applications and algorithms for commercial, research, and training purposes. PennyLane is accessible via the web and integrates across modalities and with other quantum computing hardware players.</w:t>
      </w:r>
    </w:p>
    <w:p>
      <w:pPr>
        <w:spacing w:after="0" w:line="180"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were the first pure-play company to achieve quantum supremacy when in 2022 our 216-qubit Borealis system performed a computation on the cloud in two minutes that would have taken a world top 5 classical supercomputer, Fugaku, approximately seven million years. In 2025, our Aurora system became the world’s first networked, modular, and scalable photonic quantum computer, demonstrating real-time error detection and the interconnection of multiple photonic racks through optical fiber. We believe these milestones validate our technological leadership and mark critical steps toward commercially viable fault tolerant quantum computing.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vision is to accelerate the world’s transition from classical to quantum computing by deploying photonic quantum systems in data centers, enterprises, and research institutions worldwide, with the goal of enabling breakthroughs in sustainability, medicine, materials, and artificial intelligence.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Equity Financing</w:t>
      </w:r>
    </w:p>
    <w:p>
      <w:pPr>
        <w:spacing w:after="0" w:line="229"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On May 20, 2026, we entered into the SEPA with Yorkville pursuant to which we have the right to sell to Yorkville up to $300,000,000 of our Class B Subordinate Voting Shares, subject to certain limitations and conditions set forth in the SEPA, from time to time during the term of the SEPA. Sales of Class B Subordinate Voting Shares to Yorkville under the SEPA, and the timing of any such sales, are at our option, and we are under no obligation to sell any securities to Yorkville under the SEPA. In accordance with our obligations under the SEPA, we are filing this registration statement which includes this prospectus with the SEC to register under the Securities Act the resale by Yorkville of Class B Subordinate Voting Shares so that we may elect, in our sole discretion, to issue and sell to Yorkville under the SEPA.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00" w:right="459" w:bottom="1440" w:gutter="0" w:footer="0" w:header="0"/>
        </w:sectPr>
      </w:pPr>
    </w:p>
    <w:bookmarkStart w:id="13" w:name="page14"/>
    <w:bookmarkEnd w:id="1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339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Upon the satisfaction of the conditions to Yorkville’s purchase obligation set forth in the SEPA, including that the registration statement of which this prospectus forms a part be declared effective by the SEC and the final form of this prospectus is filed with the SEC, we will have the right, but not the obligation, from time to time at our sole discretion during the period beginning the date of the SEPA and ending upon termination of the SEPA in accordance with its terms (the “Commitment Period”), to direct Yorkville to subscribe and purchase a specified number of Class B Subordinate Voting Shares (each such sale, an “Advance”) by delivering a written notice to Yorkville (each, an “Advance Notice”). There is no mandatory minimum amount for any Advance and no non-usage fee for not utilizing the full commitment amount or any part thereof. The number of Class B Subordinate Voting Shares we may request in any Advance Notice may not exceed the Maximum Advance Amount and is subject to the limitations described below, including the Exchange Cap and the Ownership Limitation.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per share purchase price Yorkville will pay for the Class B Subordinate Voting Shares (the “Purchase Price”) will equal 97.50% of the Market Price, provided that if such price is less than the TSX Minimum Price, the Purchase Price shall equal the applicable TSX Minimum Price. For purposes of the SEPA, the “Market Price” is defined as the volume weighted average price (“VWAP”) of the Class B Subordinate Voting Shares on the Principal U.S. Market during the applicable Pricing Period, which is a one-day pricing period commencing upon Yorkville’s written confirmation of receipt of the applicable Advance Notice and ending at 4:00 p.m. New York City time on the same Trading Day (unless otherwise agreed by the parties or the Pricing Period is terminated pursuant to the terms of the SEPA). “VWAP” means, for any Trading Day or specified period, the volume weighted average price of the Class B Subordinate Voting Shares on the Principal U.S. Market as reported by Bloomberg L.P. through its “AQR” function. The TSX Minimum Price is the volume weighted average price of the Class B Subordinate Voting Shares on the TSX during the five TSX trading day period immediately preceding the delivery of the applicable Advance Notice, less the maximum permitted discount provided in the TSX Company Manual, converted to U.S. dollars using the exchange rate quoted by the Bank of Canada at the time of submission of such Advance Notice.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control the timing and amount of any sales of Class B Subordinate Voting Shares to Yorkville. Actual sales of our Class B Subordinate Voting Shares to Yorkville under the SEPA, if any, will depend on a variety of factors to be determined by us from time to time, which may include, among other things, market conditions, the trading price of our Class B Subordinate Voting Shares and determinations by us as to the appropriate sources of funding for our business and its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Yorkville will not be obligated to purchase any Class B Subordinate Voting Shares under the SEPA which, when aggregated with all other Class B Subordinate Voting Shares then beneficially owned by Yorkville and its affiliates (as calculated pursuant to Section 13(d) of the Exchange Act and Rule 13d-3 promulgated thereunder), would result in the beneficial ownership by Yorkville and its affiliates exceeding 4.99% of the then outstanding voting power or number of Class B Subordinate Voting Shares (the “Ownership Limitation”).</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net proceeds under the SEPA to us will depend on the number of Class B Subordinate Voting Shares we sell to Yorkville, the timing of such sales, and the prices at which we sell such shares to Yorkville. We expect that any proceeds received by us from such sales to Yorkville will be used for working capital and other general corporate purposes.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Yorkville has agreed that it and its affiliates will not engage in any short sales of the Class B Subordinate Voting Shares during the Commitment Period, except that Yorkville may sell a number of Class B Subordinate Voting Shares equal to the number of Advance Shares that it is unconditionally obligated to purchase under a pending Advance Notice but has not yet received from us or our transfer agent.</w:t>
      </w:r>
    </w:p>
    <w:p>
      <w:pPr>
        <w:spacing w:after="0" w:line="17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The SEPA will automatically terminate on the earlier of (i) 36 months following the effective date of the SEPA or (ii) the date on which Yorkville shall have made payment of Advances pursuant to the SEPA for Class B Subordinate Voting Shares equal to the Commitment Amount of $300,000,000. We may terminate the SEPA at any time upon written notice to Yorkville, provided that (i) there are no outstanding Advance Notices for which Class B Subordinate Voting Shares have yet to be issued and paid for and (ii) we have paid all amounts owed to Yorkville pursuant to the SEPA. The SEPA may also be terminated at any time by mutual written consent of the parties. Neither we nor Yorkville may assign or transfer our respective rights and obligations under the SEPA, and no provision of the SEPA may be modified or waived other than by an instrument in writing signed by both parties.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04" w:right="459" w:bottom="1440" w:gutter="0" w:footer="0" w:header="0"/>
        </w:sectPr>
      </w:pPr>
    </w:p>
    <w:bookmarkStart w:id="14" w:name="page15"/>
    <w:bookmarkEnd w:id="1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064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6064885"/>
                    </a:xfrm>
                    <a:prstGeom prst="rect">
                      <a:avLst/>
                    </a:prstGeom>
                    <a:noFill/>
                  </pic:spPr>
                </pic:pic>
              </a:graphicData>
            </a:graphic>
          </wp:anchor>
        </w:drawing>
        <w:t>As consideration for Yorkville’s commitment to purchase Class B Subordinate Voting Shares at our direction upon the terms and subject to the conditions set forth in the SEPA, we have paid Yorkville a structuring fee in the amount of $25,000 and are obligated to pay a commitment fee equal to 0.45% of the Commitment Amount (the “Commitment Fee”), which is fully earned upon execution of the SEPA. At our option, we elected to pay the Commitment Fee in cash, with 10% of the gross proceeds from each Advance deducted by Yorkville from the total Purchase Price payable to us from each such Advance until the Commitment Fee is paid in full. Any portion of the Commitment Fee that remains unpaid upon the termination of the SEPA, or upon the twelve-month anniversary of the date of the SEPA, shall be immediately paid by us to Yorkville in cash.</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SEPA contains customary representations, warranties, conditions and indemnification obligations of the parties. The representations, warranties and covenants contained in the SEPA were made only for purposes of the SEPA and as of specific dates, were solely for the benefit of the parties thereto and may be subject to limitations agreed upon by the contracting parties.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know what the Purchase Price for our Class B Subordinate Voting Shares will be and therefore cannot be certain as to the number of shares we might issue to Yorkville under the SEPA. Although the SEPA provides that we may sell up to $300,000,000 of our Class B Subordinate Voting Shares to Yorkville, the actual number of shares issued will depend on the Purchase Price at the time of each Advance. If and when we elect to issue and sell shares to Yorkville, we will need to register for resale under the Securities Act additional Class B Subordinate Voting Shares in order to receive aggregate gross proceeds equal to the $300,000,000 (representing the full commitment amount before the application of the 2.5% discount to the Market Price at which Yorkville purchases shares) available to us under the SEPA, depending on market prices for our Class B Subordinate Voting Shares.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elect to issue and sell Class B Subordinate Voting Shares to Yorkville under the SEPA, we must ensure that any such shares are registered for resale under the Securities Act, which could cause additional dilution to our shareholders. The number of shares ultimately offered for resale by Yorkville is dependent upon the number of Class B Subordinate Voting Shares we may elect to sell to Yorkville under the SEPA.</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are substantial risks to our shareholders as a result of the sale and issuance of Class B Subordinate Voting Shares to Yorkville under the SEPA. These risks include the potential for substantial dilution and significant declines in our share price. See the section titled “Risk Factors.” Issuances of our Class B Subordinate Voting Shares in this offering will not affect the rights or privileges of our existing shareholders, except that the economic and voting interests of each of our existing shareholders will be diluted as a result of any such issuance. Although the number of Class B Subordinate Voting Shares that our existing shareholders own will not decrease as a result of sales, if any, under the SEPA, the shares owned by our existing shareholders will represent a smaller percentage of our total outstanding shares after any such issuance to Yorkville.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more detailed information regarding the SEPA, see the section titled “Committed Equity Financing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March 26, 2026 (the “Closing Date”) we consummated the previously announced business combination pursuant to the Business Combination Agreement, which provided for, among other things and subject to the terms and conditions contained in the Business Combination Agreement, and the Plan of Arrangement, (i) the continuation of CHAC from the Companies Act (Cayman Islands)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(ii) our acquisition of all of the issued and outstanding shares in the capital of CHAC in exchange for Class B Subordinate Voting Shares and all of the issued and outstanding shares in the capital of Old Xanadu, other than Old Xanadu Non-Voting Common Shares for Class A Multiple Voting Shares and all of the issued and outstanding Old Xanadu Non-Voting Common Shares, for Class B Subordinate Voting Shares, in each case, by way of a court approved arrangement under Section 182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“Arrangement”), resulting in CHAC and Old Xanadu becoming our wholly-owned subsidiaries; and (iii) the listing of the Class B Subordinate Voting Shares for trading on each of Nasdaq and the TSX.</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04" w:right="459" w:bottom="1440" w:gutter="0" w:footer="0" w:header="0"/>
        </w:sectPr>
      </w:pPr>
    </w:p>
    <w:bookmarkStart w:id="15" w:name="page16"/>
    <w:bookmarkEnd w:id="15"/>
    <w:p>
      <w:pPr>
        <w:jc w:val="both"/>
        <w:ind w:left="8" w:firstLine="3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836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6836410"/>
                    </a:xfrm>
                    <a:prstGeom prst="rect">
                      <a:avLst/>
                    </a:prstGeom>
                    <a:noFill/>
                  </pic:spPr>
                </pic:pic>
              </a:graphicData>
            </a:graphic>
          </wp:anchor>
        </w:drawing>
        <w:t>On the Closing Date and pursuant to the Plan of Arrangement, among other things, (i) each then issued and outstanding Old Xanadu Preferred Share held by a holder of Old Xanadu Preferred Shares was converted into and exchanged for one Old Xanadu Voting Common Share; (ii) each then issued and outstanding Old Xanadu Voting Common Share held by a holder of Old Xanadu Voting Common Shares was transferred to us in consideration for that number of Class A Multiple Voting Shares equal to the exchange ratio specified in the Plan of Arrangement (the “Exchange Ratio”); (iii) each then issued and outstanding Old Xanadu Non-Voting Common Share held by a holder of Old Xanadu Non-Voting Common Shares was transferred to us in consideration for that number of Class B Subordinate Voting Shares equal to the Exchange Ratio; (iv) each Old Xanadu Voting Option then outstanding was exchanged for an option to purchase Class A Multiple Voting Shares equal to the Exchange Ratio; (v) each then outstanding Old Xanadu Non-Voting Option was exchanged for an option to purchase Class B Subordinate Voting Shares equal to the Exchange Ratio; and (vi) each then outstanding SFTrust Warrant was exchanged for an MVS Warrant to purchase Class A Multiple Voting Shares equal to the Exchange Ratio and each then outstanding RBC Warrant was exchanged for a SVS Warrant to purchase Class B Subordinate Voting Shares equal to the Exchange Ratio.</w:t>
      </w:r>
    </w:p>
    <w:p>
      <w:pPr>
        <w:spacing w:after="0" w:line="19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The Class B Subordinate Voting Shares are traded on Nasdaq and the TSX under the symbol “XNDU”.</w:t>
      </w:r>
    </w:p>
    <w:p>
      <w:pPr>
        <w:spacing w:after="0" w:line="2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8" w:right="20" w:firstLine="324"/>
        <w:spacing w:after="0" w:line="282" w:lineRule="auto"/>
        <w:rPr>
          <w:sz w:val="20"/>
          <w:szCs w:val="20"/>
          <w:color w:val="auto"/>
        </w:rPr>
      </w:pPr>
      <w:r>
        <w:rPr>
          <w:rFonts w:ascii="Times New Roman" w:cs="Times New Roman" w:eastAsia="Times New Roman" w:hAnsi="Times New Roman"/>
          <w:sz w:val="18"/>
          <w:szCs w:val="18"/>
          <w:color w:val="auto"/>
        </w:rPr>
        <w:t>Xanadu was incorporated under the OBCA on October 2, 2025. Its articles were amended on March 12, 2026 to create the existing capital structure of the Company, including to create the Class A Multiple Voting Shares, Class B Subordinate Voting Shares and Preferred Shares, issuable in series.</w:t>
      </w:r>
    </w:p>
    <w:p>
      <w:pPr>
        <w:spacing w:after="0" w:line="160"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 xml:space="preserve">Old Xanadu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December 7, 2016, and subsequently continued under the OBCA on October 29, 2025. Crane Harbor was a blank check company incorporated under the Cayman Islands Companies Act on January 2, 2025 and continued under the OBCA on March 20, 2026. As a result of the Business Combination, Crane Harbor and Old Xanadu are wholly owned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The principal and registered offices of the Company is located at 777 Bay Street, Suite 2400, Toronto, Ontario, M5G 2C8. Our telephone number is</w:t>
      </w:r>
    </w:p>
    <w:p>
      <w:pPr>
        <w:spacing w:after="0" w:line="27" w:lineRule="exact"/>
        <w:rPr>
          <w:sz w:val="20"/>
          <w:szCs w:val="20"/>
          <w:color w:val="auto"/>
        </w:rPr>
      </w:pPr>
    </w:p>
    <w:p>
      <w:pPr>
        <w:ind w:left="8" w:right="20" w:hanging="8"/>
        <w:spacing w:after="0" w:line="260" w:lineRule="auto"/>
        <w:tabs>
          <w:tab w:leader="none" w:pos="4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304-9629. Our website is https://xanadu.ai. The information contained on the website does not form a part of, and is not incorporated by reference into, this prospectus.</w:t>
      </w:r>
    </w:p>
    <w:p>
      <w:pPr>
        <w:spacing w:after="0" w:line="1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 the last day of the fiscal year in which we have more than $1.235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the CHAC IPO (i.e., December 31, 2030).</w:t>
      </w: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904" w:right="459" w:bottom="1440" w:gutter="0" w:footer="0" w:header="0"/>
        </w:sectPr>
      </w:pPr>
    </w:p>
    <w:bookmarkStart w:id="16" w:name="page17"/>
    <w:bookmarkEnd w:id="1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613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Investing in our Class B Subordinate Voting Shares involves risks. You should carefully consider the risks described in “Risk Factors” before making a decision to invest in our Class B Subordinate Voting Shares. Some of the risks related to our business and industry are summarized below.</w:t>
      </w:r>
    </w:p>
    <w:p>
      <w:pPr>
        <w:spacing w:after="0" w:line="162" w:lineRule="exact"/>
        <w:rPr>
          <w:sz w:val="20"/>
          <w:szCs w:val="20"/>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is not mature, we have not produced a commercially scalable, fault-tolerant quantum computer, and we may never overcome the significant barriers to doing so.</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negative cash flows and may not achieve or sustain profitability.</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the reliability, safety, performance and uptime standards required by our quantum computing technology and related software.</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or ineffective use of our research and development efforts may prevent us from achieving our technological goals or competing effectively.</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quantum computers fail to achieve broad-based capabilities, our business, financial condition and future prospects may be harmed.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risks in launching and scaling our quantum computing technology and related software solutions and applications.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w:t>
      </w:r>
    </w:p>
    <w:p>
      <w:pPr>
        <w:spacing w:after="0" w:line="225" w:lineRule="exact"/>
        <w:rPr>
          <w:rFonts w:ascii="Times New Roman" w:cs="Times New Roman" w:eastAsia="Times New Roman" w:hAnsi="Times New Roman"/>
          <w:sz w:val="18"/>
          <w:szCs w:val="18"/>
          <w:color w:val="auto"/>
        </w:rPr>
      </w:pPr>
    </w:p>
    <w:p>
      <w:pPr>
        <w:jc w:val="both"/>
        <w:ind w:left="640" w:right="20" w:hanging="324"/>
        <w:spacing w:after="0" w:line="261"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cloud-based quantum computing technology and related software solutions and applications is relatively new and unproven and may not grow as we expect and, even if market demand increases, the demand for our cloud-based Quantum-Computing-as-a-service (“QCaaS”) may not increase, or certain customers may be reluctant to use a cloud-based QCaaS for applications, any of which may harm our business and results of operations.</w:t>
      </w:r>
    </w:p>
    <w:p>
      <w:pPr>
        <w:spacing w:after="0" w:line="179"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significant portion of our revenues from a small number of customers, and the loss of any one of them could adversely affect our business.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pursue our business objectives, and we cannot be certain that such financing will be available on acceptable terms or at all.</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current strategic partnerships or realize the anticipated benefits from existing or future customer and government relationships.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record significant impairment charges on our long-lived assets, other assets or investments as a result of adverse market conditions.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04" w:right="459" w:bottom="1440" w:gutter="0" w:footer="0" w:header="0"/>
        </w:sectPr>
      </w:pPr>
    </w:p>
    <w:bookmarkStart w:id="17" w:name="page18"/>
    <w:bookmarkEnd w:id="17"/>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436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If our quantum computing technology and related software solutions and applications are not compatible with some or all industry-standard hardware and software in the future, our business could be harmed.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could delay the introduction of our products and negatively impact our business and operating results.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key employees with specialized knowledge, and our inability to attract, retain and motivate such personnel could be critical to our success.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operating a public company.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technology could expose us to security vulnerabilities, litigation, and obligations to publicly disclose proprietary source code or intellectual property.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may result in reputational harm, legal liability, competitive risks and regulatory concerns.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including catastrophic events, may disrupt our business and negatively affect our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expanding sales internationally, which exposes us to risks associated with international operations.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subject us to greater than anticipated tax liabilities.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and trade and economic sanctions laws that could impair our ability to compete globally.</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third parties with whom we work are subject to stringent and evolving data privacy and security laws, regulations and obligations across the jurisdictions in which we operate.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us may be subject to U.S. and Canadian foreign investment laws that could impose conditions or limitations on foreign investors’ ownership of or rights with respect to Xanadu.</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secure or maintain sufficient intellectual property license rights from collaborators could delay, prevent or increase the costs of commercializing our products.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patent infringement and other intellectual property claims that could be costly to defend and limit our ability to use key technologies in the future.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intellectual property was developed through university or government-funded research and may be subject to policies or regulations that limit our exclusive rights or impose other restrictions on our business.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Class B Subordinate Voting Shares may not develop, which would adversely affect their liquidity and price.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share structure concentrates voting control with holders of Class A Multiple Voting Shares.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negative developments announced by competitors could have a material impact on our operations, financial performance and future prospects.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issuance of our Class B Subordinate Voting Shares to Yorkville will cause dilution to our existing shareholders, and the sale of the Class B Subordinate Voting Shares acquired by Yorkville, or the perception that such sales may occur, could cause the price of our Class B Subordinate Voting Shares to fall.</w:t>
      </w:r>
    </w:p>
    <w:p>
      <w:pPr>
        <w:spacing w:after="0" w:line="200" w:lineRule="exact"/>
        <w:rPr>
          <w:sz w:val="20"/>
          <w:szCs w:val="20"/>
          <w:color w:val="auto"/>
        </w:rPr>
      </w:pPr>
    </w:p>
    <w:p>
      <w:pPr>
        <w:spacing w:after="0" w:line="219"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4"/>
          </w:cols>
          <w:pgMar w:left="776" w:top="904" w:right="4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5927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5927725"/>
                    </a:xfrm>
                    <a:prstGeom prst="rect">
                      <a:avLst/>
                    </a:prstGeom>
                    <a:noFill/>
                  </pic:spPr>
                </pic:pic>
              </a:graphicData>
            </a:graphic>
          </wp:anchor>
        </w:drawing>
        <w:t>THE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summary below describes the principal terms of the offering. The “Description of Share Capital” section of this prospectus contains a more detailed description of our securities. Any investment in the securities offered hereby is speculative and involves a high degree of risk. You should carefully consider the information set forth under “Risk Factors” on page 8 of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Xanadu Quantum Technologies Limited.</w:t>
            </w: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Class B Subordinate Voting Shares offered by the Selling</w:t>
            </w: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 are registering the resale by the Selling Securityholders named in this prospectus,</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Securityholders</w:t>
            </w: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 their permitted transferees, of an aggregate of 30,100,000 Class B Subordinate</w:t>
            </w:r>
          </w:p>
        </w:tc>
      </w:tr>
      <w:tr>
        <w:trPr>
          <w:trHeight w:val="234"/>
        </w:trPr>
        <w:tc>
          <w:tcPr>
            <w:tcW w:w="4540" w:type="dxa"/>
            <w:vAlign w:val="bottom"/>
          </w:tcPr>
          <w:p>
            <w:pPr>
              <w:spacing w:after="0"/>
              <w:rPr>
                <w:sz w:val="20"/>
                <w:szCs w:val="20"/>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Voting Shares, consisting of up to:</w:t>
            </w:r>
          </w:p>
        </w:tc>
      </w:tr>
      <w:tr>
        <w:trPr>
          <w:trHeight w:val="414"/>
        </w:trPr>
        <w:tc>
          <w:tcPr>
            <w:tcW w:w="454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30,000,000 Class B Subordinate Voting Shares we may elect, in our discretion,</w:t>
            </w:r>
          </w:p>
        </w:tc>
      </w:tr>
      <w:tr>
        <w:trPr>
          <w:trHeight w:val="234"/>
        </w:trPr>
        <w:tc>
          <w:tcPr>
            <w:tcW w:w="4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issue and sell to Yorkville under the SEPA from time to time;</w:t>
            </w:r>
          </w:p>
        </w:tc>
      </w:tr>
      <w:tr>
        <w:trPr>
          <w:trHeight w:val="432"/>
        </w:trPr>
        <w:tc>
          <w:tcPr>
            <w:tcW w:w="454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100,000 Cohen Shares.</w:t>
            </w:r>
          </w:p>
        </w:tc>
      </w:tr>
      <w:tr>
        <w:trPr>
          <w:trHeight w:val="432"/>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Class B Subordinate Voting Outstanding as of May 14, 2026</w:t>
            </w: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43,284,411 Class B Subordinate Voting Shares.</w:t>
            </w: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Class B Subordinate Voting Shares outstanding After Giving</w:t>
            </w: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73,384,411 Class B Subordinate Voting Shares.</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Effect to the Issuance of the Shares Registered Hereunder</w:t>
            </w:r>
          </w:p>
        </w:tc>
        <w:tc>
          <w:tcPr>
            <w:tcW w:w="460" w:type="dxa"/>
            <w:vAlign w:val="bottom"/>
          </w:tcPr>
          <w:p>
            <w:pPr>
              <w:spacing w:after="0"/>
              <w:rPr>
                <w:sz w:val="20"/>
                <w:szCs w:val="20"/>
                <w:color w:val="auto"/>
              </w:rPr>
            </w:pPr>
          </w:p>
        </w:tc>
        <w:tc>
          <w:tcPr>
            <w:tcW w:w="5960" w:type="dxa"/>
            <w:vAlign w:val="bottom"/>
          </w:tcPr>
          <w:p>
            <w:pPr>
              <w:spacing w:after="0"/>
              <w:rPr>
                <w:sz w:val="20"/>
                <w:szCs w:val="20"/>
                <w:color w:val="auto"/>
              </w:rPr>
            </w:pP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 will not receive any proceeds from the resale of Class B Subordinate Voting</w:t>
            </w:r>
          </w:p>
        </w:tc>
      </w:tr>
      <w:tr>
        <w:trPr>
          <w:trHeight w:val="216"/>
        </w:trPr>
        <w:tc>
          <w:tcPr>
            <w:tcW w:w="45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included in this prospectus by Yorkville. However, we may receive up to</w:t>
            </w:r>
          </w:p>
        </w:tc>
      </w:tr>
      <w:tr>
        <w:trPr>
          <w:trHeight w:val="216"/>
        </w:trPr>
        <w:tc>
          <w:tcPr>
            <w:tcW w:w="45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$300,000,000 in aggregate gross proceeds (representing the full commitment amount</w:t>
            </w:r>
          </w:p>
        </w:tc>
      </w:tr>
      <w:tr>
        <w:trPr>
          <w:trHeight w:val="216"/>
        </w:trPr>
        <w:tc>
          <w:tcPr>
            <w:tcW w:w="45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before the application of the 2.5% discount to the Market Price at which Yorkville</w:t>
            </w:r>
          </w:p>
        </w:tc>
      </w:tr>
      <w:tr>
        <w:trPr>
          <w:trHeight w:val="216"/>
        </w:trPr>
        <w:tc>
          <w:tcPr>
            <w:tcW w:w="45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shares) under the SEPA from sales of Class B Subordinate Voting Shares</w:t>
            </w:r>
          </w:p>
        </w:tc>
      </w:tr>
      <w:tr>
        <w:trPr>
          <w:trHeight w:val="216"/>
        </w:trPr>
        <w:tc>
          <w:tcPr>
            <w:tcW w:w="45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that we may elect to make to Yorkville pursuant to the SEPA, if any, from time to time</w:t>
            </w:r>
          </w:p>
        </w:tc>
      </w:tr>
      <w:tr>
        <w:trPr>
          <w:trHeight w:val="216"/>
        </w:trPr>
        <w:tc>
          <w:tcPr>
            <w:tcW w:w="45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our discretion. We expect to use the net proceeds that we receive from sales of our</w:t>
            </w:r>
          </w:p>
        </w:tc>
      </w:tr>
      <w:tr>
        <w:trPr>
          <w:trHeight w:val="216"/>
        </w:trPr>
        <w:tc>
          <w:tcPr>
            <w:tcW w:w="45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B Subordinate Voting to Yorkville, if any, under the SEPA for working capital</w:t>
            </w:r>
          </w:p>
        </w:tc>
      </w:tr>
      <w:tr>
        <w:trPr>
          <w:trHeight w:val="216"/>
        </w:trPr>
        <w:tc>
          <w:tcPr>
            <w:tcW w:w="45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and general corporate purposes. In addition, we will not receive any proceeds from the</w:t>
            </w:r>
          </w:p>
        </w:tc>
      </w:tr>
      <w:tr>
        <w:trPr>
          <w:trHeight w:val="216"/>
        </w:trPr>
        <w:tc>
          <w:tcPr>
            <w:tcW w:w="454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 of Class B Subordinate Voting Shares by Cohen. See the section titled “Use of</w:t>
            </w:r>
          </w:p>
        </w:tc>
      </w:tr>
      <w:tr>
        <w:trPr>
          <w:trHeight w:val="234"/>
        </w:trPr>
        <w:tc>
          <w:tcPr>
            <w:tcW w:w="4540" w:type="dxa"/>
            <w:vAlign w:val="bottom"/>
          </w:tcPr>
          <w:p>
            <w:pPr>
              <w:spacing w:after="0"/>
              <w:rPr>
                <w:sz w:val="20"/>
                <w:szCs w:val="20"/>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w:t>
            </w: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Before investing in our securities, you should carefully read and consider the</w:t>
            </w:r>
          </w:p>
        </w:tc>
      </w:tr>
      <w:tr>
        <w:trPr>
          <w:trHeight w:val="234"/>
        </w:trPr>
        <w:tc>
          <w:tcPr>
            <w:tcW w:w="4540" w:type="dxa"/>
            <w:vAlign w:val="bottom"/>
          </w:tcPr>
          <w:p>
            <w:pPr>
              <w:spacing w:after="0"/>
              <w:rPr>
                <w:sz w:val="20"/>
                <w:szCs w:val="20"/>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information set forth in the section titled “Risk Factors” in this prospectus.</w:t>
            </w: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Nasdaq and TSX ticker symbol</w:t>
            </w: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Class B Subordinate Voting Shares are traded on Nasdaq and the TSX under the</w:t>
            </w:r>
          </w:p>
        </w:tc>
      </w:tr>
      <w:tr>
        <w:trPr>
          <w:trHeight w:val="234"/>
        </w:trPr>
        <w:tc>
          <w:tcPr>
            <w:tcW w:w="4540" w:type="dxa"/>
            <w:vAlign w:val="bottom"/>
          </w:tcPr>
          <w:p>
            <w:pPr>
              <w:spacing w:after="0"/>
              <w:rPr>
                <w:sz w:val="20"/>
                <w:szCs w:val="20"/>
                <w:color w:val="auto"/>
              </w:rPr>
            </w:pPr>
          </w:p>
        </w:tc>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symbol “XNDU.”</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concerning the offering, see the section titled “Plan of Distribution” beginning on page 169.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00" w:right="4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should carefully review and consider the following risk factors and the other information contained in this prospectus, including the financial statements and notes to the financial statements included herein before making a decision to invest in our securities. The occurrence of one or more of the events or circumstances described in these risk factors, alone or in combination with other events or circumstances, may have a material adverse effect on our business, cash flows, financial condition and results of operations. This could cause the trading price of our Class B Subordinate Voting Shares to decline, perhaps significantly, and you therefore may lose all or part of your investment. You should carefully consider the following risk factors in conjunction with the other information included in this prospectus, including matters addressed in the sections titled “Cautionary Note Regarding Forward-Looking Statements,” “Management’s Discussion and Analysis of Financial Condition and Results of Operations,” and the financial statements and notes to the financial statements included herein. The risks discussed below are not exhaustive and are based on certain assumptions made by us which later may prove to be incorrect or incomplete. Investors are encouraged to perform their own investigation with respect to our business, financial condition and prospects. We may face additional risks and uncertainties that are not presently known to us, or that are currently deemed immaterial, which may also impair our business or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SEPA to Yorkville or the actual gross proceeds resulting from those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we may not have access to the full amount available under the SEPA with Yorkville.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20, 2026, we entered into the SEPA with Yorkville, pursuant to which Yorkville has committed to purchase up to $300,000,000 of our Class B Subordinate Voting Shares, subject to certain limitations and conditions set forth in the SEPA. The Class B Subordinate Voting Shares that may be issued under the SEPA may be sold by us to Yorkville at our discretion from time to time.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Class B Subordinate Voting Shares to Yorkville under the SEPA. Sales of our Class B Subordinate Voting Shares, if any, to Yorkville under the SEPA will depend upon market conditions and other factors to be determined by us. We may ultimately decide to sell to Yorkville all, some or none of the Class B Subordinate Voting Shares that may be available for us to sell to Yorkville pursuant to the SEPA.</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Yorkville for the Class B Subordinate Voting Shares that we may elect to sell to Yorkville under the SEPA, if any, will fluctuate based on the market prices of our Class B Subordinate Voting Shares prior to each Advance made pursuant to the SEPA, if any, it is not possible for us to predict, as of the date of this prospectus and prior to any such sales, the number of Class B Subordinate Voting Shares that we will sell to Yorkville under the SEPA, the purchase price per share that Yorkville will pay for shares purchased from us under the SEPA, or the aggregate gross proceeds that we will receive from those purchases by Yorkville under the SEPA, if any.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although the SEPA provides that we may sell up to an aggregate of $300,000,000 of our Class B Subordinate Voting Shares to Yorkville, only 30,000,000 Class B Subordinate Voting Shares are being registered for resale under the registration statement that includes this prospectus. If we elect to sell to Yorkville all of the 30,000,000 Class B Subordinate Voting Shares being registered for resale under this prospectus, depending on the market price of our Class B Subordinate Voting Shares prior to each advance made pursuant to the SEPA, the actual gross proceeds from the sale of all such shares may be substantially less than the $300,000,000 available to us under the SEPA, which could materially adversely affect our liquidity.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it becomes necessary for us to issue and sell to Yorkville under the SEPA more than the 30,000,000 shares being registered for resale under this prospectus in order to receive aggregate gross proceeds equal to $300,000,000 under the SEPA (representing the full commitment amount before the application of the 2.5% discount to the Market Price at which Yorkville purchases shares), we must file with the SEC one or more additional registration statements to register under the Securities Act the resale by Yorkville of any such additional Class B Subordinate Voting Shares we wish to sell from time to time under the SEPA, which the SEC must declare effective. Additionally, we may need to seek approval from the TSX for the listing of such additional Class B Subordinate Voting Shares on that exchange. Any issuance and sale by us under the SEPA of Class B Subordinate Voting Shares in addition to the 30,000,000 Class B Subordinate Voting Shares being registered for resale by Yorkville under the registration statement that includes this prospectus could cause additional dilution to our shareholders.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not required or permitted to issue any Class B Subordinate Voting Shares under the SEPA if such issuance would breach our obligations under the rules or regulations of Nasdaq. In addition, Yorkville will not be required to purchase any Class B Subordinate Voting Shares if such sale would result in Yorkville’s beneficial ownership exceeding 4.99% of the then issued and outstanding Class B Subordinate Voting Shares. Our inability to access a part or all of the amount available under the SEPA, in the absence of any other financing sources, could have a material adverse effect on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sale and issuance of our Class B Subordinate Voting Shares to Yorkville will cause dilution to our existing shareholders, and the sale of the Class B Subordinate Voting Shares acquired by Yorkville, or the perception that such sales may occur, could cause the price of our Class B Subordinate Voting Shares to fall.</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purchase price for the shares that we may sell to Yorkville under the SEPA will fluctuate based on the price of our Class B Subordinate Voting Shares. Depending on a number of factors, including market liquidity, sales of such shares may cause the trading price of our Class B Subordinate Voting Shares to fall. If and when we do sell shares to Yorkville, Yorkville may resell all, some, or none of those shares at its discretion, subject to the terms of the SEPA. Therefore, sales to Yorkville by us could result in substantial dilution to the interests of other holders of our Shares. Additionally, the sale of a substantial number of Class B Subordinate Voting Shares to Yorkville, or the anticipation of such sales, could make it more difficult for us to sell equity or equity-related securities in the future at a desirable time and price. The resale of Class B Subordinate Voting Shares by Yorkville in the public market or otherwise, including sales pursuant to this prospectus, or the perception that such sales could occur, could also harm the prevailing market price of our Class B Subordinate Voting Shares. In addition, we agreed to issue 100,000 Cohen Shares as compensation for financial advisory services rendered in connection with the Business Combination. The Cohen Shares are being registered for resale pursuant to this prospectus and are not subject to any contractual lock-up or resale restrictions; accordingly, Cohen may sell the Cohen Shares in the public market at any time following the effectiveness of the registration statement of which this prospectus forms a part, which could result in dilution to our existing shareholders and adversely affect the prevailing market price of our Class B Subordinate Voting Shares. Following these issuances described above and following the expiration of lock-ups of certain other restricted shareholders and as restrictions on resale end and registration statements are available for use, the market price of our Class B Subordinate Voting Shares could decline if the holders of restricted or locked up shares sell them or are perceived by the market as intending to sell them. As such, sales of a substantial number of Class B Subordinate Voting Shares in the public market could occur at any time. These sales, or the perception in the market that the holders of a large number of shares intend to sell shares, could reduce the market price of Class B Subordinate Voting Shares.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Class B Subordinate Voting Shares at different times will likely pay different prices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SEPA, we control the timing and amount of any sales of Class B Subordinate Voting Shares to Yorkville. If and when we elect to sell Class B Subordinate Voting Shares to Yorkville pursuant to the SEPA, Yorkville may resell all, some or none of such shares at its discretion and at different prices, subject to the terms of the SEPA.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to Yorkville under the SEPA, or if investors expect that we will do so, the actual sales of shares or the mere existence of our arrangement with Yorkville may make it more difficult for us to sell equity or equity-related securities in the future at a desirable time and price.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over the use of the net proceeds from our sale of Class B Subordinate Voting Shares to Yorkville, if any, and you may not agree with how we use the proceeds and the proceeds may not be invested successfully.</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team will have broad discretion as to the use of the net proceeds from our sale of Class B Subordinate Voting Shares to Yorkville, if any, and we could use such proceeds for purposes other than those contemplated at the time of commencement of this offering. We will not receive any proceeds from the resale of the Cohen Shares by Cohen; all proceeds from any such resale will be received directly by Cohen.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Accordingly, you will be relying on the judgment of our management team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team to use such funds effectively could have a material adverse effect on our business, financial condition, operating results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technology that is not mature and we face significant barriers in our attempts to produce products that meet desired technical specifications. We have not produced a commercially scalable, fault-tolerant quantum computer and face significant barriers in our development and manufacturing efforts. If we cannot successfully overcome those barriers, our business will be negatively impacted and could fail.</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mission is to build fault-tolerant, utility scale quantum computers that are useful and available to people everywhere. Producing quantum computers and other products utilizing quantum technology is a difficult undertaking. There are significant research, development, and manufacturing challenges that we and our business partners must overcome to build our quantum computers and other products. Overcoming such challenges will require advances in both science and engineering, and we and our business partners may not have the ability to deliver those advances. We are still in the development stage and face significant challenges in developing quantum computers with sufficient performance and scale to meet the requirements of commercial use-cases and in producing quantum computers in commercial volumes. Some of the development challenges that could prevent the introduction of our quantum computers and other products within our pipeline include, but are not limited to, failure to find scalable ways to generate, control, and manipulate qubits, failure to reduce photon loss, failure to transition quantum systems to leverage low-cost components, and failure to scale up the relationship of logical qubits to physical qubits. For example, we have currently only demonstrated twelve logical qubits with photon loss not meeting the required levels. Our architecture is designed with a target to scale up to 100,000 physical qubits and up to 500 logical qubits in 2029-2030, which is the widely recognized threshold for achieving broad-based capabilities in commercially valuable applications; however, we may not be successful in reaching that threshold in the near term or at all, or be successful in deploying our quantum computing capabilities to our target customers at scale by such time. Moreover, although photonic qubits can operate at or near room temperature, certain optical and electronic subsystems, such as detectors, qubit generation assemblies or supporting photonic and electronic assemblies may require temperature control or other advanced cooling methods to meet fidelity and stability targets. If our quantum computers require more stringent operating conditions than anticipated, or if we cannot achieve performance targets without advanced cooling methods or temperature controls, our costs, power needs and serviceability could increase, delaying commercialization and impairing customer adoption. Overcoming these development challenges will be time consuming and costly and we do not expect to achieve these results for a number of years.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and our manufacturing partners will need to develop the manufacturing processes necessary to make these quantum computers and other products within our pipeline in high volume. We have not yet developed partnerships or entered into long term supply agreements for manufacturing or validated or obtained the rights to a manufacturing process, nor acquired the tools or developed the processes or support functions necessary to produce high volumes of our quantum cores, computers, sensors or certain other products within our pipeline that meet all commercial requirements. If a manufacturer fails to deliver or delays the delivery of products within our pipeline, we will be required to seek an alternative source of supply. Although alternate manufacturers are available, any change in suppliers would necessitate a change in the design, a process which could take up to several years and entail higher manufacturing costs, since we do not currently own the intellectual property of the technical specifications related to the manufacturing processes necessary to make quantum computers and other products within our pipeline. If we are not able to overcome these manufacturing hurdles in building our quantum computers and other products there would be a delay in the development and marketing of our products, which could have a material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Even if we complete development and achieve volume production of our quantum computers and/or other products in our pipeline, if the cost, performance characteristics or other specifications of such products fall short of our projections, our business, financial condition and results of operations would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negative cash flows, and may not achieve or sustain profitability in the future.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experienced net losses and negative cash flows from operations in each period since inception. As of March 31, 2026 and December 31, 2025, we had an accumulated deficit of $228.3 million and $206.3 million, respectively. For the three months ended March 31, 2026 and 2025, we incurred net losses of $20.6 million and $12.2 million, respectively, and we had net cash outflows from operating activities of $7.0 million and $16.3 million, respectively. As of March 31, 2026 and December 31, 2025, we had cash and cash equivalents of $272.5 million and $16.2 million and net working capital of $270.2 million and $31.2 million, respectively. We are a development stage company and have earned limited revenue to date. While we have experienced revenue growth in recent periods, we are not certain whether or when we will obtain a high enough volume of sales to achieve or maintain profitability in the future. We expect to continue to incur additional operating losses and net operating cash outflows, and the rate at which we incur losses will be significantly higher in future periods as we, among other things, continue to incur significant expenses in connection with the design, development, and manufacturing of our quantum computing technology and related software solutions and applications; expand our research and development (“R&amp;D”) activities as we continue to introduce new offerings and services to extend the functionality of our platform; invest in manufacturing capabilities; build up inventories of components for our quantum computers; increase our sales and marketing activities; develop our distribution infrastructure; and increase our general and administrative functions to support our growing operations and operating as a public company. 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adverse effect on our business, financial condition, or results of operations and could impair our ability to raise capital, expand our business, maintain our development efforts, obtain regulatory approvals, diversify our product offerings, or continue our operations, and may cause the price of our Class B Subordinate Voting Shares to decline. Our business model is unproven and may never allow us to cover our costs.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the reliability standards for safety, performance and consistent uptime required by our quantum computing technology and related software solutions and applications.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quantum computing technology and related software solutions and applications, including our cloud-based QCaaS (as defined herein) platform, require that we meet very high reliability standards for safety, performance and consistent uptime. In the past, our QCaaS platform operated under limited hours and at limited capacity. While we are planning to expand and improve our QCaaS operations to reduce or avoid such limitations in the future, any such limitations, disruption or closures could have a material adverse effect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fund our R&amp;D efforts or use R&amp;D teams effectively, we may not be able to achieve our technological goals, build scalable, commercial quantum solutions, or compete effectively, and our business and operating results may be harmed.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photonic quantum computers, QCaaS platform and computing platform technologies are still in early stages of development and will require significant R&amp;D expense and time before our technologies will be available at commercial scale. Maintaining adequate R&amp;D personnel and resources to meet the demands of the market is essential. If we experience high employee or management turnover, or a lack of other R&amp;D resources, we may be unable to achieve our technological and strategic goals. The success of our business is dependent on our R&amp;D teams developing a roadmap that allows us to achieve technical milestones, retain and increase the spending of our existing customers and attract new customers. The quantum technology industry is quickly evolving, and we may invest significantly in particular functionality or integrations that may become obsolete in the future, and any future product offerings, features or enhancements that we develop may be unsuccessful. To help us remain competitive, we must continue to develop new product offerings and reach technological milestones, as well as add features and enhancements to our existing products. The success of any future product offerings, enhancements or features depends on several factors, including our understanding of market demand, timely execution, successful introduction and market acceptance. We may not successfully develop features or products that meet customer needs and our products, if generally made available at commercial scale at all, may not achieve adequate acceptance in the market. Additionally, our products may not result in our ability to recoup our investments in a timely manner, or at all. Our failure to maintain adequate R&amp;D resources, to use our R&amp;D resources efficiently or to compete effectively with the R&amp;D programs of our competitors could materially adversely affect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If our quantum computers fail to achieve broad-based capabilities, our business, financial condition and future prospects may be harmed.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“Quantum supremacy” refers to the point at which a quantum computer performs a task that a classical (non-quantum) computer could not complete within a reasonable time frame, regardless of whether the task has any practical or commercial use. “Broad-based capabilities” refers to the point at which quantum computers can perform a task that has commercial value. No current quantum computers, including our quantum hardware, have reached broad-based capabilities, and they may never reach such capabilities. Achieving broad-based capabilities will be critical to the success of any quantum computing company, including us. However, achieving broad-based capabilities would not necessarily lead to commercial viability of the technology that accomplished such capabilities, nor would it mean that such system could outperform classical computers in tasks other than the one used to determine broad-based capabilities.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architecture is designed with a target to scale up to 100,000 physical qubits and up to 500 logical qubits in 2029-2030, which is the widely recognized threshold for achieving broad-based capabilities in commercially valuable applications; however, we may not be successful in reaching that threshold in 2029-2030, or be successful in deploying our quantum computing capabilities to our target customers at scale by such time. If we cannot develop quantum computers that have broad-based capabilities that can better address real world problems relative to classical computing or competing quantum solutions, customers may not continue to purchase our products and services. If other companies’ quantum computers reach broad-based capabilities prior to the time our quantum computers reach such capabilities, such technological breakthroughs could render our quantum technology obsolete or inferior to other products, which could lead to a loss of our customers and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risks in launching and scaling our quantum computing technology and related software solutions and applications.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execute our business plan effectively depends on several factors, including market demand, pricing competitiveness, operational efficiency, customer acquisition and retention, regulatory compliance, and access to sufficient capital to support our quantum computers, quantum software and computing platform technologies. If we fail to assess consumer demand accurately or establish a sustainable pricing model, we may not attract enough subscribers to achieve profitability. Additionally, as we have limited experience operating a subscription- and cloud-based quantum computing solution and application, we may encounter unexpected logistical, financial, and technological challenges, which could delay or hinder implementation. For example, while we anticipate that many customers will engage through cloud-based access, not all workloads or industries are amenable to shared compute environments.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customers handling sensitive or classified data, particularly in government and defense sectors, we expect to offer on-premise system deployments. These systems will be installed directly into enterprise or sovereign data centers and supported through long-term service, maintenance, and upgrade agreements, which will require significant expansion in personnel for installation and ongoing support, posing additional operational risks.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continued growth and expansion of our existing and new quantum computing technology and related software solutions and applications may also subject us to the following additional challenges and constraints:</w:t>
      </w:r>
    </w:p>
    <w:p>
      <w:pPr>
        <w:spacing w:after="0" w:line="16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challenges in ensuring the productivity of a growing employee base, including recruiting, training, and retaining skilled personnel in areas such as sales and marketing and information technology;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or operational challenges associated with cloud-based quantum computing technology and related software solutions and applications and customer service in a subscription model may be more complex than anticipated;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successfully managing our subscription model, which depends upon our ability to properly price our subscription-based arrangements, maintain systems and processes to properly account for and administer subscriptions, deliver our platform and products, retain our customers, and further develop or acquire related technologies and infrastructure;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our future plans will require significant capital investment and expenditures, and there is no guarantee that we will have access to adequate funding;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compliance requirements for cloud-based subscription software vary across different jurisdictions and any unfavorable regulatory changes could restrict our ability to operate or scale our software solutions and applications effectively;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consumer preferences, and economic and political developments in Canada, the U.S., in and around Taiwan, Ukraine, the Middle East and other areas of the world.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launch or scale our software solutions and applications, or if they fail to gain sufficient market acceptance, we may not realize the anticipated benefits of this expansion strategy. This could result in financial losses, inefficiencies in resource allocation, and a negative impact on our overall business performance and future growth prospects.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these endeavors involve risks and will require significant management, financial, and human resources. We cannot assure you that we will be able to launch and scale our quantum computing technology and related software solutions and applications. There is no assurance that the investment to be made by us as contemplated under our future plans will be successful and generate the expected return. If we are not able to manage our growth or execute our strategies effectively, or at all, our business, results of operations, and prospects may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early-stage company with a limited operating history, it is difficult to forecast our future results of operations and funding requirements.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our limited operating history, our ability to accurately forecast our future results of operations is limited and subject to a number of uncertainties, including our ability to plan for and model future growth. Our ability to generate revenues will largely be dependent on our ability to develop and produce computing technology and related software solutions and applications with increasing numbers of qubits and to connect those quantum computers via quantum networks. However, our scalable business model has not been formed and it is possible that our latest technical roadmap will not be realized as quickly as expected, or at all. The development of our scalable business model will likely require the incurrence of a substantially higher level of costs than incurred to date, while our revenues will not substantially increase until more powerful, scalable computers are produced, which requires a number of technological advancements that may not occur on the currently anticipated timetable, or at all. Further, in future periods, our growth could slow or decline for a number of reasons, including but not limited to slowing demand for our service offerings, increased competition, changes to technology, inability to scale up our technology, a decrease in the growth of the overall market, or our failure, for any reason, to continue to take advantage of growth opportunities. As a result, our historical results should not be considered indicative of our future performance.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R&amp;D breakthroughs in the coming years. There is no certainty these R&amp;D milestones will be achieved as quickly as expected, or at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current or prospective customers covered by our market opportunity estimates will purchase our products at all or generate any particular level of revenue for us. In addition, alternatives to quantum computing technology and their related software and applications may present themselves, which could substantially reduce the market for our products. Any expansion in our market depends on a number of factors, including the cost, performance and perceived value associated with our quantum solutions.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methodology and assumptions used to estimate market opportunities may differ materially from the methodologies and assumptions we have historically used to estimate the total addressable market. To estimate the size of our market opportunities and our growth rates, we have relied on publicly available market reports by research and consulting firms, peer-reviewed journals and our own internal estimates. While our estimates of the total addressable market opportunity included in this prospectus are made in good faith and are based on assumptions and estimates we believe to be reasonable under the circumstances, these estimates of the total addressable market and growth forecasts are subject to significant uncertainty, are based on assumptions and estimates that may not prove to be accurate and are based on data published by third parties that we have not independently verified. For example, if advances in classical computing prove more robust for longer than currently anticipated, it could adversely affect the timing of any quantum advantage in commercially meaningful use cases being achieved, if at all. If our estimates of total market opportunity and growth forecasts prove to be inaccurate, it could have a material adverse effect on our business, financial condition and results of operations.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capital and operating costs for the foreseeable future are difficult to project, inherently variable and are subject to significant change based on a variety of factors including regulatory oversight, operating agreements, supply chain availability, inflation and other factors. Opportunities for cost reductions in quantum cores, logical qubits and other quantum computing and sensing products are similarly uncertain. While we believe our cost estimates are reasonable, they may increase significantly through design maturity, when accounting for supply chain availability or as a result of other factors. To the extent cost reductions in these areas are not achieved within the expected timeframe or magnitude, our products may not be cost competitive with alternative technologies, which may have a material adverse effect on our business prospects, financial condition, results of operations and cash flows and could harm our reputation.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quickly enough to meet customer and market demand, which could adversely affect our financial condition and results of operations or cause us to fail to execute on our business strategies.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grow our business, we will need to continually evolve and scale our business and operations to meet customer and market demand. We have a limited sales history for our quantum computing technology and related software solutions and applications, and the majority of our revenue is derived from professional services for research projects, proof of concept development, and quantum education, compute services and our quantum platform-as-a-service offering. Our business model is unproven and we have never sold any of our products at large-scale commercial levels. Evolving and scaling our business and operations places increased demands on our management, as well as our financial and operational resources to:</w:t>
      </w:r>
    </w:p>
    <w:p>
      <w:pPr>
        <w:spacing w:after="0" w:line="183"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quantum computing technology and related software solutions and applications, including by offering QCaaS via cloud platforms and enterprise integrations, and to plan and prepare for future commercialization;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grow our customer base, including by selling dedicated photonic quantum computers for secure or sovereign deployments with ongoing support;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 intellectual property with strategic partners for revenue sharing and commercialization;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PennyLane through enterprise subscriptions and developer tools for SaaS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 proprietary quantum algorithms and applications with industrial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intellectual property for adjacent markets in classical datacom, sensing, and telecommunications;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monetize our underlying photonics technology and resulting intellectual property in adjacent non-computing markets, including the quantum internet and sensing;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organizational 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scalable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and/or refocus our R&amp;D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manufacturing, supply chain and distribution capacity;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sales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customer support and services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increase operational efficiencies;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support operations in a cost-effective manner;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appropriate operational and financial systems;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effective financial disclosure controls and procedures.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Commercial production of quantum computing technology and related applications may never occur. We have no experience in producing large quantities of our quantum computing technology and related software solutions and applications and are currently in the early stages of development of our products. There are significant technological and logistical challenges associated with developing, producing, marketing, selling and distributing products in an advanced technology industry, including our products, and we may not be able to resolve all of the difficulties that may arise, including managing production at a scale or quality consistent with customer demand, in a timely or cost-effective manner, or at all.</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cannot evolve and scale our business and operations effectively, we may not be able to execute our business strategies in a cost-effective manner and our business, financial condition and results of operations could be adversely affected.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cloud-based quantum computing technology and related software solutions and applications is relatively new and unproven and may not grow as we expect and, even if market demand increases, the demand for our cloud-based QCaaS may not increase, or certain customers may be reluctant to use a cloud-based QCaaS for applications, any of which may harm our business and results of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plan to derive much of our revenue from our cloud-based quantum computing technology and related software solutions and applications, which we expect to continue for the foreseeable future. As such, the market acceptance of our platform is critical to our continued success. To date, we have generated limited revenue from QCaaS. It is difficult to predict customer adoption rates and demand for our solutions and professional services, the entry of competitive platforms and service providers, or the future growth rate and size of our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for cloud-based solutions to be widely accepted, organizations must overcome any concerns with moving sensitive information to a cloud-based platform. Demand for our platform in particular is affected by a number of other factors, some of which are beyond our control. These factors include continued market acceptance of our cloud-based quantum computing platform and cloud-based QCaaS, the pace at which existing customers realize benefits from the use of our platform and decide to expand deployment of our platform across their business, the timing of development and release of new products by our competitors, technological change, reliability and security, the pace at which enterprises undergo digital transformation, and developments in data privacy regulations. Furthermore, we expect that the needs of our customers will continue to rapidly change and increase in complexity. We will need to continually improve the functionality and performance of our platform to meet those rapidly changing, complex demands. If we are unable to continue to meet customer demands or to achieve more widespread market acceptance of relevant solutions in general or our platform in particular, our business operations, financial results, and growth prospects will be materially and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amount of our revenues from a few significant customers. The loss of a significant customer could adversely affect our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substantial percentage of our current revenues are generated from a relatively small number of customers and the loss of a significant customer could materially and adversely affect us. For the three months ended March 31, 2026, 72.0% of our revenues was attributable to one customer. For the three months ended March 31, 2025, 75.0% of our revenues were attributable to four customers, contributing 35%, 19%, 11%, and 10% respectively. For the year ended December 31, 2025, 78% of our revenues were attributable to three customers, each contributing 44%, 20%, and 14%. For the year ended December 31, 2024, 63% of our revenues were attributable to two customers, each contributing 53% and 10%, respectively. For the year ended December 31, 2023, 85% of our revenues were attributable to two customers, each contributing 70% and 15%, respectively.</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agreements with significant customers generally fall into two categories and cover four different customers. The first relates to commercial agreements with private entities, which typically feature multi-year initial terms with defined renewal options, such as by prior written notice or automatically unless terminated, and include specific clauses for termination for convenience and for cause. In contrast, the second relates to our contracts with the Canadian and United States governments, which are for shorter, fixed periods (ranging from six months to two years). These agreements typically incorporate standard government-wide general conditions, including customer-friendly termination for convenience and termination for default provisions. These agreements with our significant customers are generally dependent on, and subject to, our ability to demonstrate the technological feasibility of our products and services, as well as research and development of our technology.</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results of operations could be adversely affected if any of our significant customers terminate their contracts with us, fail to renew their existing contracts, or do not enter into new contracts with us. Replacing significant customers is difficult, and it is unlikely we would be able to replace such a loss in revenue from a single or a few larger customers. The loss of one or more of our larger customers could have a material adverse effect on our business, financial condition, results of operations and ability to meet our obligations. In addition, if a significant customer experiences liquidity constraints or other financial difficulties it may be unable to make required payments to us or seek to renegotiate contracts, which could adversely affect our liquidity and profitability. While the loss of any single customer is currently unlikely to have a material adverse effect on our business, financial condition, results of operations and ability to meet our obligations given our early-revenue stage, this risk increases as we advance further along our path to commercialization.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fail to manage growth effectively.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fail to manage growth effectively, our business, results of operations and financial condition could be harmed. We anticipate that a period of significant expansion will be required to address the growth of our operations and personnel that will be necessary to develop and commercialize our existing and new quantum computing technology and related software solutions and applications. This expansion will place a significant strain on our management, operational and financial resources. Expansion will require significant cash investments and management resources, and there is no guarantee that they will generate additional sales of our products, or that we will be able to avoid cost overruns or hire additional personnel to support this growth as required.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qualified finance, administrative and operations staff. We may be unable to acquire the necessary capabilities and personnel required to manage growth or to identify, manage and exploit potential strategic relationships and market opportunities.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revenues are hard to predict, and may not grow at the rates at which you expect in the future.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revenue was $2.8 million for the three months ended March 31, 2026, which was primarily attributable to our advancement to Stage B of the U.S. Defense Advanced Research Projects Agency led program assessing and validating quantum computing system performance against standardized metrics, $0.7 million for the three months ended March 31, 2025, $4.6 million for the fiscal year ended December 31, 2025, consisting primarily of professional services for application development and proof of concept, and $1.6 million for the fiscal year ended December 31, 2024. We do not currently have quantum computers available for commercial sale beyond those in the beta stage of development. You should not rely on the revenue growth of any prior quarterly or annual period, either individually or collectively, as an indication of our future performance. Even if our revenue increases in the future, we expect that our revenue growth rate will fluctuate as a result of a variety of factors, including as we continue to develop our quantum computing technology and related software solutions and applications.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Overall growth of our revenue also depends on a number of factors, including our ability to:</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features and functionality of our quantum computing technology and related software solutions and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our product leadership to expand our addressable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quantum computing technology and related software solutions and applications from similar platforms offered by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 substantial sales pipeline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sufficient sales personnel to support our growth and reduce the time for such personnel to achieve desired productivity levels;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expand sales to our existing customers, including by effectively marketing and pricing our quantum computing technology and related software solutions and applications;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as a quantum computing leader to successfully compete with other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leverage and expand our partner ecosystem;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against security incidents;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protect our intellectual property in Canada, the United States and other jurisdictions;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to new international markets and grow within existing markets.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if we are unable to maintain consistent revenue or revenue growth, we may not be able to achieve and maintain profitability.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products, features and functionality for our existing and future quantum computing technology and related software solutions and applications;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assets and facilities required to enable our product development and product manufacturing;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 ecosystem;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enablement of our sales and marketing organizations to increase brand awareness and drive adoption of our solutions;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human resources, compliance and accounting expenses associated with being a public company.</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investments may not result in increased revenue for our business. If we are unable to maintain or increase our revenue at a rate sufficient to offset the expected increase in our costs, our business, financial condition and results of operations will be harmed, and we may not be able to achieve or maintain profitability. Additionally, we may encounter unforeseen operating expenses, difficulties, complications, delays, decreased revenue growth associated with general macroeconomic and market conditions, volatility or disruptions (including the effect of those events on our customers) and other unknown factors that may result in losses in future periods. If our revenue does not meet our expectations in future periods, our business, financial condition and results of operations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pursue our business objectives and respond to business opportunities, challenges or unforeseen circumstances, and we cannot be sure that additional financing will be available.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and our future plans for expansion are capital-intensive, and the specific timing of cash inflows and outflows may fluctuate substantially from period to period. We believe that our cash and cash equivalents as of March 31, 2026 are sufficient to meet our anticipated operating cash needs for at least the next 12 months based on our current business plan, and expectations and assumptions, considering current macroeconomic conditions. Our operating plan may change because of factors currently unknown, and we may need to seek additional funds sooner than planned, through public or private equity or debt financings or other sources, such as strategic collaborations or government contracts. In addition, we may seek additional capital due to favorable market conditions or strategic considerations even if we believe that we have sufficient funds for current or future operating plans. Any such financings may result in dilution to Shareholders, issuance of securities with priority as to liquidation and dividends and other rights more favorable than our Shares, imposition of debt covenants and repayment obligations or other restrictions that may adversely affect our business.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financing will be available to us on favorable terms, or at all. Weakness and volatility in capital markets and the economy, in general or as a result of bank failures or macroeconomic conditions, such as high inflation, interest rates, geopolitical events and changes in government policies, could limit our access to capital markets and increase our costs of borrowing. The inability to obtain financing when needed may make it more difficult for us to operate our business or implement and execute our quantum computing growth plans and may require us to scale back our operating plans.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our current or future customers, partnerships or strategic relationships, and we may not be able to maintain our current strategic partnerships, including relationships with certain government entities or prime contractors, or realize the anticipated benefits from any such relationships or opportunities in the future.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binding and non-binding memoranda of understanding and letters of intent (collectively, “MOUs”) with certain key collaborators and development partners with the goal of advancing our technologies and expanding our strategic relationships in the future. We may in the future enter into additional strategic partnerships through similar MOUs. There is no guarantee that any of our MOUs will lead to lasting or successful business relationships with such collaborators and/or development partners, or that any of our development partnerships will ultimately lead to advancement of commercial products. These strategic partnerships may subject us to several risks, including risks associated with sharing proprietary information, non-performance by third parties, and increased expenses in establishing new strategic partnerships, any of which may materially and adversely affect our business. We may have limited ability to monitor or control the actions of these third parties and, to the extent that any of these third parties suffer negative publicity or harm to their reputation from events relating to our business, we may be required to indemnify such parties. We may also suffer negative publicity or harm to our reputation by virtue of our association with any such third party.</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and may enter into, strategic partnerships to develop our current and future R&amp;D programs with government and other public entities to accomplish one or more of the following: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utility-scale, photonic quantum computing technology and related software solutions and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manufacturing processes for low loss photonic integrated circuits;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expertise in relevant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sales and marketing services or support;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equipment and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quantum algorithms and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quantum software stack including compilers;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relationships with potential future customers;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Strategic partnerships and ongoing customer relationships will be an important factor in the growth and success of our business. However, there are no assurances that we will be able to continue to identify or secure suitable business relationship opportunities in the future, and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record significant charges for impairment of our long-lived assets, other assets or investments as a result of an adverse change in market conditions in the future.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adverse change in market conditions, including a negative change to our position in the market, or lack of growth in demand for our products could be considered to be an impairment triggering event. Such changes in the future could impact valuation assumptions relating to the recoverability of assets and may result in impairment charges to our long-lived assets, other assets or investments, which would have a material adverse effect on our operating results and harm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inherent uncertainties in management’s estimates, judgments and assumptions used in assessing recoverability of intangible and other long-lived assets. Any material changes in key assumptions, including failure to meet business plans, a deterioration in the U.S., Canadian and global financial markets, an increase in interest rates or an 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long-lived assets is determined, which might have a materially adverse impact on our business operations and our financial position or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quantum computing technology and related software solutions and applications are not compatible with some or all industry-standard hardware and software in the future, our business could be harmed.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Programming for quantum computing technology and related software solutions and applications requires unique tools, software, hardware, and development environments. We have focused our efforts on creating full-stack quantum computing technology and related software solutions and applications utilizing photonic-based quantum computing hardware with a modality-agnostic software platform. We rely on third parties to create and advance hardware, software, standards, specifications, applications, and services that enable these systems to integrate into various environments and be utilized for various customer use cases. Full utilization of our quantum computing technology and related software solutions and applications may depend on these third-party hardware, software, standards, specifications, applications, and services, which may not be compatible with our quantum computing technology and related software solutions and applications and their development, or may not be available to us or our customers on commercially reasonable terms, or at all, which could harm our business.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customers are unable to achieve compatibility between our quantum hardware and software and other hardware and software, it could impact our relationships with such customers or with customers generally, if the incompatibility is more widespread. In addition, the mere announcement of an incompatibility problem relating to our products with higher level hardware and software tools could cause us to suffer reputational harm and/or lead to a loss of customers. Any adverse impacts from the incompatibility of our quantum solutions could adversely affect our business, operating results,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limited financial and operational resources. As such, we must prioritize our R&amp;D for use of quantum technology within certain products, designs sectors or investments. Correctly prioritizing our R&amp;D activities is particularly important for us due to the breadth of companies building or seeking to build quantum solutions that can meet the requirements for solving commercial problems. Our resource allocation decisions may cause us to forego or delay pursuit of opportunities in other products, designs, sectors or investments that later prove to have greater commercial potential and ability to achieve quantum advantage, which would have a material adverse effect on our business, prospects and financial results. We may also fail to capitalize on the products, designs, sectors, or investments we choose to pursue. In addition, because we are pursuing the development and commercialization of multiple verticals on our quantum platform at the same time, we may face challenges related to the appropriate focus of management resources and attention, as well as R&amp;D funding in pursuing these verticals. The failure to correctly prioritize our efforts could adversely affect our business, operating results and financial condition.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reduce the cost of developing our quantum computing technology and related software solutions and applications, which may prevent us from pricing our quantum offerings competitively.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success of our business is dependent on the cost per logical qubit decreasing over the next several years as our quantum computers and software advance, which is based on achieving anticipated economies of scale related to demand for our computer systems and software, technological innovation and negotiations with third-party suppliers, research organizations and development partners. We have not yet developed partnerships or entered into long term supply agreements with each of the parties that we will need to in order to advance our current business plan. If we do not achieve economies of scale or if the anticipated cost savings do not materialize, we may be unable to achieve a lower cost per logical qubit, which would make our quantum computing technology and related software solutions and applications less competitive than those offered by our competitors and could have a material adverse effect on our business, financial condition and results of operations. Due to macroeconomic headwinds, including inflation, we have experienced and may continue to experience increased costs, including with respect to labor and products. The failure to price our offerings competitively could adversely affect our business, operating results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quantum technology industry is competitive on a global scale, and we may not be successful in establishing and maintaining confidence in our long-term business prospects among current and future partners and customers.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markets in which we operate are rapidly evolving and highly competitive. As these markets continue to mature and new technologies and competitors enter such markets, we expect competition to intensify. Our current competitors include, but are not limited to:</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well-established tech companies that generally compete in all of our markets, including Amazon, Google, IBM, Intel and Microsoft;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computing companies, such as IonQ, PsiQuantum, Infleqtion, D-Wave Computing and Rigetti Computing;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such as the United States, Canada, Japan, China, Russia, Australia, the United Kingdom (“UK”) and certain countries in the European Union (“EU”), which sponsor material government-funded research in quantum computing;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less-established public and private companies with competing technology, including companies located outside the United States and Canada;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emerging entrants seeking to develop competing technologies.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compete based on various factors, including technology, price, performance, fidelity, brand recognition and reputation, customer support and differentiated capabilities, scalability and reliability. Many of our competitors have substantially greater brand recognition, customer relationships and financial, technical and other resources, including an experienced sales force and sophisticated supply chain management. They may be able to respond more effectively than us to new or changing opportunities, technologies, standards, customer requirements and buying practices or to cross-subsidize their quantum offerings from their other higher margin operations. In addition, many countries are focused on developing quantum solutions either in the private or public sector and may subsidize quantum computers and other technology, which may make it difficult for us to compete. Many of these competitors do not face the same challenges that we do in growing our business, including research, development, manufacturing, sales and marketing. Moreover, other competitors might be able to compete with us by bundling their other products in a way that does not allow us to offer a competitive solution.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photonic quantum computers and software also compete with non-photonic architectures that may have substantial support from large, well-established technology companies and developer ecosystems. If developers, independent software vendors and cloud providers prioritize such non-photonic architectures and related SDKs or other software, or if they reduce support for photonic quantum computers and software, our ability to attract developers, partners and customers could be impaired. Furthermore, the value of our quantum software is partly derived from its ability to connect with existing hardware infrastructures of our quantum computing system and other hardware providers (e.g., IBM, IonQ, QuEra). If such providers prioritize their own SDKs and reduce support for our quantum computers and software, including PennyLane, the utility of our solutions could be materially reduced. Even if our photonic quantum computers and software are adopted, entrenched standards and integrations around non-photonic technology systems may delay or prevent adoption of our photonic quantum computers and software, which could materially adversely affect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must be able to achieve our objectives in a timely manner or our quantum computing and other technology may lose ground to competitors, including competing technologies. There are a large number of market participants, including certain sovereign nations, focused on developing quantum technology, including quantum computing and networking technology. Accordingly, we must dedicate significant resources to achieving any technical objectives on the timelines established by our management team. Any failure to achieve objectives in a timely manner could adversely affect our business, operating results and financial condition.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all of these reasons, competition may negatively impact our ability to maintain and grow consumption of our products and platform or put downward pressure on our prices and gross margins, any of which could materially harm our reputation, business, results of operations and financial condition.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quantum technology industry is in its early stages and volatile, and if it does not develop, if it develops slower than we expect, if it develops in a manner that does not require use of our quantum solutions, if it encounters negative publicity or if our solutions do not drive commercial engagement, the growth of our business will be harmed.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nascent market for quantum technology is still rapidly evolving, characterized by rapidly changing technologies, competitive pricing and competitive factors, evolving government regulation and industry standards, and changing customer demands and behaviors. If the market for quantum technology in general, or a certain quantum technology sector, such as quantum computing, does not develop as expected, or develops more slowly than expected, our business, prospects, financial condition and operating results could be harmed.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quantum hardware is based on a photonic modality. There are a number of other quantum hardware technologies being pursued. If the industry fails to adopt a photonic modality or adopts a competing quantum technology, this would adversely affect our business, prospects, financial condition and operating results.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our growth and demand for our products is highly dependent upon the adoption of certain quantum technologies and commercially useful quantum algorithms to run on quantum computers by developers and customers, as well as on our ability to demonstrate the value of quantum solutions to our customers. Delays in future generations of our quantum computers or other technology, or technical failures at other quantum computing or other quantum technology companies could limit market acceptance of our solution. Negative publicity concerning our solution or the quantum technology industry as a whole, or a certain quantum technology sector, could limit market acceptance of our solution. We believe quantum technology will solve many large-scale problems. However, such problems may never be solvable by quantum technology or may only be solvable by systems that are more technologically mature than we currently expect. If our clients and partners do not perceive the benefits of our solutions and products, or if our solution does not drive customer engagement, then our market may not develop at all, or it may develop slower than we expect. If any of these events occur, it could have a material adverse effect on our business, financial condition and results of operations. If progress towards quantum advantage ever slows relative to expectations, it could adversely impact revenues and customer confidence to continue to pay for testing, access and “quantum readiness.” This would adversely affect revenues in the period before quantum advantage.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the market in which we compete achieves the forecasted growth, our business could fail to grow at similar rates, if at all.</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Even if the market in which we compete meets the size estimates and growth forecasted, our business could fail to grow at similar rates, if at all, and may contract.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Before we will be in a position to begin the growth needed to capture meaningful market opportunity, we must first complete development of utility scale quantum computing technology and related software solutions and applications. Once we have developed suitable commercially scalable product offerings, our growth will depend upon our ability to successfully scale up manufacturing of our products in sufficient quantity and quality, in a timely or cost-effective manner. Any future growth will also depend upon our ability to successfully market and sell quantum computing technology and related software solutions and applications. We have no experience with the distribution and sale of quantum computing technology and related software solutions and applications at scale. Any future growth and long-term success will depend upon the development of our sales and delivery capabilities.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Unforeseen issues associated with scaling up and constructing quantum computing technology and related software solutions and applications at commercially viable levels, and selling our technology, could negatively impact our business, financial condition and results of operations.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because of our unique technology, our customers will require particular support and service functions, some of which are not currently available. If we experience delays in adding such support capacity or servicing our customers efficiently or experience unforeseen issues with the reliability of our technology, it could overburden our servicing and support capabilities. Similarly, if we enter into additional government contracts or expand to new geographies, we may be required to rapidly increase the availability of these services. Failure to adequately support and service our customers may inhibit our growth and ability to expand computing targets globally. There can be no assurance that our projections on which such targets are based will prove accurate or that the pace of growth will meet customer expectations. Failure to grow at rates similar to that of the quantum computing, software and networking industries may adversely affect our operating results and our ability to effectively compete in the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are dependent on the success of our strategic relationships with third parties.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depend on, and anticipate that we will continue to depend on, various third-party suppliers, contractors, and strategic partners, some of which we have not yet developed partnerships or entered into long term supply agreements with, in order to sustain and grow our business now and in the future. Failure of any of these suppliers to continue to provide products and services to maintain, support or secure their technology platforms or our integrations, or errors or defects in their technologies, products or services, could adversely affect our relationships with our customers, damage our brand and reputation and result in delays or difficulties in our ability to provide our products and platform. Our ability to produce and scale our photonic quantum computers is dependent also upon components we must source from the electronics and semiconductor industries. Shortages or supply interruptions in any of these components will adversely impact our financial performance, technology roadmap, and effect our business.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of our products and our platform depend on the ability to access and integrate with third-party cloud providers. In particular, we have developed our products and platform to integrate with certain third-party cloud providers and the third-party applications of other parties. If we choose or are required to change cloud providers, we will incur costs to port our products and platform to a new service and may experience service interruptions during a change of cloud provider. Generally, third-party cloud providers and the data we receive from the third-party cloud providers are written and controlled by the application provider. Any changes or modifications to the third-party cloud providers or the data provided could negatively impact the functionality of, or require us to make changes to, our products and platform, which would need to occur quickly to avoid interruptions in service for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supply chain issues that could delay the introduction of certain of our products and negatively impact our business and operating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reliant on third-party suppliers for components necessary to develop and manufacture our quantum computing technology. We do not currently have long-term supply agreements with all of our suppliers. As our business grows, we must continue to scale and adapt our supply chain or it could potentially have an adverse impact on our business. Any of the following factors (and others) could have an adverse impact on the availability of these components necessary to our business:</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agreements with suppliers on commercially reasonable terms,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license intellectual property from our suppliers, on commercially reasonable terms, if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suppliers to mature their operations in line with our growth and to meet our evolving requirements;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the price of one or more components, including due to industry consolidation occurring within one or more component supplier markets or as a result of decreased production capacity at manufacturers;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reductions or interruptions in supply, including disruptions on our global supply chain as a result of the global chip shortage, geopolitical tensions in and around Taiwan, Ukraine, the Middle East and other areas of the world and any indirect effects thereof;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problems of either manufacturers or component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sabotage by a malicious actor or 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increased raw material costs and other expenses associated with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raw materials that meet our quality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increased freight charges, disruptions in shipping or reduced availability of freight transportation;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to impose, imposition of, or increase in, tariffs, trade protection measures, or import and export controls by the United States or other countries and countermeasures proposed or imposed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 to raw materials due to suppliers entering into exclusivity arrangements with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and resources required to facilitate a change in one or more of our current suppliers;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 or that we do not presently anticipate could also affect our suppliers’ ability to deliver components to us on a timely basis;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develop our supply chain management capabilities and recruit and retain qualified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adequately authorize procurement of inventory by our contract manufacturers;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appropriately cancel, reschedule, or adjust our requirements based on our business needs.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any of the aforementioned factors were to materialize, it could cause us to delay or halt production of some or all of our quantum solutions and/or entail higher manufacturing costs, any of which could materially adversely affect our business, operating results, and financial condition and could materially damage customer relationships.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the future supply and demand for our products, including our quantum computing technology and related software solutions and applications, which could result in a variety of inefficiencies in our business and hinder our ability to generate revenue. If we fail to accurately predict our manufacturing requirements, we could incur additional costs or experience delays.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It is difficult to predict our future revenues and appropriately and accurately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computing and certain of our other products or our ability to develop, manufacture, and deliver quantum computers and other products, or our profitability, if any, in the future. If we overestimate our requirements, our suppliers may have excess inventory, which indirectly would increase our costs and reduce potential profitability. If we underestimate our requirements, our suppliers may have inadequate inventory, which could interrupt the manufacturing of our products and result in delays in shipments and revenues. In addition, the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development, manufacturing and delivery of quantum computers and other products to our potential customers could be delayed, which would harm our business, financial condition and operating results and could materially damage relationships with our strategic partners and future customers.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employees who have specialized knowledge, and our ability to attract and retain and motivate senior management and other key employees is critical to our success.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future success is highly dependent on our ability to attract, retain and motivate our executive officers, key employees and other qualified personnel, including our employees who have specialized knowledge. Our future success is also dependent upon our ability to attract, retain and motivate qualified senior and middle managers on our management team.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in the past, and as we build our brand and become more well known, there is increased risk that we may experience again in the future, competitors or other companies hiring our personnel. The loss of the services provided by these individuals could adversely impact the achievement of our business strategy. These individuals could leave our employment at any time. A loss of one or more of our key employees, particularly to a competitor, could also place us at a competitive disadvantage. Effective succession planning is important to our long-term success, and failure to ensure effective transfer of knowledge and smooth transitions involving key employees could hinder our strategic planning and execution.</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also depends on our continuing ability to attract, develop, motivate and retain highly qualified and skilled employees. The market for highly skilled workers and leaders in the quantum technology industry is extremely competitive. In particular, hiring qualified personnel specializing in quantum physics, engineering, software development and sales, as well as other technical staff and R&amp;D personnel, is critical to our business and the development of our solutions.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solutions, the commercialization of our quantum solutions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solutions and be otherwise unable to develop and grow our business as planned,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funding and financial contributions from contracts with the public sector, including the Canadian government and U.S. government.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we have derived a portion of our revenue and financial contributions from the Canadian federal, Canadian provincial, U.S. federal and other governments and government agencies. We believe that the success and growth of our business for the foreseeable future will depend, in part, on our ability to win government contracts, grants and loans, and to attract repayable or non-repayable contributions from various government agencies.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our government customers and many government funding programs are subject to budgetary constraints and our continued performance under these contracts, or award of additional contracts from these agencies, could be jeopardized by spending reductions or budget cutbacks at these agencies. For example, the reduction of government spending has been a primary focus of the U.S. federal government. In January 2025, President Trump announced an executive order establishing the Department of Government Efficiency (“DOGE”) to maximize government efficiency and productivity. In February 2025, President Trump stated that he has directed DOGE to review Pentagon spending for potential waste and fraud. In addition, the U.S. government entered into a shutdown on October 1, 2025 that ended on November 12, 2025. Another similar extended government shutdown could impact our sales to the U.S. government through funding restrictions or delays. As a result of these recent developments and other factors, the long-term funding of U.S. government programs is uncertain. We are dependent on continued congressional appropriations and administrative allotment of funds based on an annual budgeting process. We cannot assure you that current levels of government funding for our products and services will continue and that our business will not decline.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significant decline in government expenditures generally, or with respect to programs for which we provide products and/or services, could adversely affect our business and prospects. Our operating results may also be negatively impacted by other developments that affect these government programs generally, including the following:</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are related to our products and services or the funding R&amp;D or related commercialization supports;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or ability to qualify for, R&amp;D tax credits, such as through the Government of Canada’s Scientific Research and Experimental Development (“SR&amp;ED”) program;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laws or regulations relating to government contracting or changes to existing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or public support for security and defense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sentiment regarding economic nationalism and protectionism;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changes in the government appropriations and budget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comply with existing and new or modified laws and regulations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current global threat environment and other geo-political matters;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 Similarly, these developments and other factors could lead to a reduction in available funding under repayable or non-repayable contributions agreements or tax credits under public sector programs.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reside outside of Canada or outside of the United States; therefore, investors may not be able to enforce their legal rights or applicable securities or other laws against such parties.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directors reside outside of Canada or outside of the United States. As a result, it may be difficult, or in some cases not possible, for investors to enforce their legal rights or to enforce judgments of courts of jurisdiction predicated upon civil liabilities under securities laws and/or criminal penalties against any person that resides or is otherwise organized outside of such jurisdiction even if the party has appointed an agent for service of process.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such material weaknesses is not effective, or if we identify additional material weaknesses in the future or otherwise fail to develop and maintain effective internal control over financial reporting, our ability to produce timely and accurate financial statements or comply with applicable laws and regulations could be impaired.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evaluate and determine the effectiveness of internal control over financial reporting. Neither we nor our independent registered public accounting firm were required to, and therefore did not, perform an evaluation of the effectiveness of our internal control over financial reporting as of or for any period included in our financial statements included herein, nor any period subsequent in accordance with the provisions of the Sarbanes-Oxley Act or National Instrument 52-109 — Certifications of Disclosure in Issuers’ Annual and Interim Filings (“NI 52-109”). However, in connection with the preparation of our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pertained to:</w:t>
      </w:r>
    </w:p>
    <w:p>
      <w:pPr>
        <w:spacing w:after="0" w:line="192" w:lineRule="exact"/>
        <w:rPr>
          <w:sz w:val="20"/>
          <w:szCs w:val="20"/>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formalized policies, procedures, and controls: We lacked adequate documentation across key processes (including, but not limited to, financial close and reporting, revenue, procure to pay, order to cash, share-based compensation, and Information Technology General Controls). In certain instances, incompatible duties were performed by the same individuals without sufficient mitigating controls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qualified finance personnel: We lacked sufficient qualified personnel within the finance and reporting function possessing the appropriate level of knowledge, experience, and training in SEC reporting requirements and the ability to meet required reporting requirements under SEC rules and regulations. This limitation adversely affected our ability to maintain effective internal controls.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implementing measures designed to improve our internal control over financial reporting to remediate these material weaknesses, including the following:</w:t>
      </w:r>
    </w:p>
    <w:p>
      <w:pPr>
        <w:spacing w:after="0" w:line="162" w:lineRule="exact"/>
        <w:rPr>
          <w:sz w:val="20"/>
          <w:szCs w:val="20"/>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comprehensive internal control program by performing a top-down risk assessment, defining and documenting key controls across processes and systems, formalizing core policies and procedures and establishing governance including issue tracking and remediation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our finance team by recruiting and onboarding additional qualified accounting and financial reporting personnel with SEC reporting experience and providing training around key concepts to enhance organizational awareness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additional resources and policies and procedures are designed to enable us to broaden the scope and quality of our internal review of underlying information related to financial reporting and to formalize and enhance our internal control procedures. With the oversight of senior management, we have begun taking steps and plan to take additional measures to address the underlying causes of the material weaknesses.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Remediation will require validation of control design and a period of sustained operating effectiveness before management can conclude the material weakness has been remediated. We will not be able to conclude that our internal controls over financial reporting is effective until remediation is completed and tested. We can give no assurance that our efforts will remediate these material weaknesses in our internal control over financial reporting, or that additional material weaknesses will not be identified in the future.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can be no assurances that the actions we have taken to remediate these material weaknesses will be effective now or in the future. These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This remediation process, including testing the effectiveness of the remediation efforts is expected to continue through 2026. Additionally, there can be no assurance that we have identified all, or that we will not in the future identify additional material weaknesses. Material weaknesses may still exist when we report on the effectiveness of our internal control over financial reporting as required under Section 404 of the Sarbanes-Oxley Act and NI 52-109.</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process of designing and implementing internal control over financial reporting required to comply with the disclosure and attestation requirements of Section 404 of the Sarbanes-Oxley Act and NI 52-109 will be time-consuming and costly. If during the evaluation and testing process we identify additional material weaknesses in our internal control over financial reporting or determine that existing material weaknesses have not been remediated, our management will be unable to assert that our internal control over financial reporting is effective. If we are unable to assert that our internal control over financial reporting is effective, or when required in the future, if our auditors are unable to express an unqualified opinion as to the effectiveness of our internal control over financial reporting, investors may lose confidence in the accuracy and completeness of our financial reports, the market price of our Class B Subordinate Voting Shares could be adversely affected and we could become subject to litigation or investigations by governmental agencies and securities, accounting and other regulatory authorities, which could require additional financial and management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success depends in part on our ability to sell effectively to government entities and large enterprises.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customers and potential customers include domestic and international government agencies and large enterprises. Therefore, our future success will depend on our ability to effectively sell our products and services to such customers and strategic partners. Sales to these end-customers involve risks that may not be present (or that are present to a lesser extent) with sales to non-governmental agencies or smaller customers. These risks include, but are not limited to, (i) increased purchasing power and leverage held by such customers in negotiating contractual arrangements with us and (ii) longer sales or service cycles and the associated risk that substantial time and resources may be spent on a potential end-customer that elects not to purchase our solutions. Sales to government agencies can be priced as fixed fee development contracts, which involve additional risks. Cost-plus and time-and-materials contracts can adversely affect our results of operations and financial condition if our costs do not qualify as allowable costs under applicable regulations of government policy. In addition, government contracts generally include the ability of government agencies to terminate for convenience which, if exercised, would result in a lower contract value and lower than anticipated revenues generated by such arrangement and, in the case of defense contracts, may allow the government to adjust prices if costs are determined to be in excess of what is fair and reasonable. Additionally, such government contracts may limit our ability to do business with foreign governments or prevent us from selling our products in certain countries.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Government agencies and large organizations often undertake a significant evaluation process that results in a lengthy sales cycle.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reductions in government spending in any jurisdiction in which we do or seek to do business could have adverse consequences on our financial position, results of operations and business. For example, we have anticipated future revenues from the U.S. government resulting from contracts awarded under various U.S. government programs. Cost cutting, including through consolidation and elimination of duplicative organizations, has become a major initiative for certain departments within the U.S. government. The Government of Canada has also indicated that it intends to constrain its spending. The funding of our programs may be subject to the overall U.S. and Canadian government budget and appropriation decisions and processes, which are driven by numerous factors, including geo-political events and macroeconomic conditions. Similar factors may be relevant to our anticipated future revenues other governments. In addition, changes in government priorities and requirements could impact the funding, or the timing of funding, of our programs, which could negatively impact our results of operations and financial condition.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use certain open source technology in our business, which could expose us to information security vulnerabilities, result in failures, errors and defects, or subject us to possible litigation or to certain unfavorable conditions, including requirements that we offer our products that incorporate the open source software for no cost or that we make publicly available our confidential, proprietary source code and any other intellectual property that we developed using or derived from such open source software.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open-source software in connection with certain of our technologies. Use and distribution of open-source software may entail greater risks than use of third-party commercial software, as open 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our technology. Many of the risks associated with the use of open-source software cannot be eliminated, and could, if not properly addressed, negatively affect our business, our intellectual property and the security of our systems, products and services. To the extent that our systems depend upon the successful operation of the open-source software it uses, any undetected errors or defects in such open-source software could prevent the deployment or impair the functionality of our systems or applications, delay the introduction of new solutions, result in a failure of our systems, products or services, and injure our reputation. For example, undetected errors or defects in open-source software could render it vulnerable to breaches or security attacks and make our systems more vulnerable to data breaches.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and the third parties with whom we work, collect, receive, store, process, generate, use, transfer, disclose, make accessible, protect, secure, dispose of, transmit and share (collectively, “process”) proprietary, confidential and sensitive data, including confidential business data, trade secrets, sensitive third-party data, personal data, controlled unclassified information, business plans, transactions and financial information of our own, our partners, our vendors and their own supply chains, our customers or other third parties (collectively, “sensitive information”).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any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and nation-state-supported actors for geopolitical reasons and in conjunction with military conflicts and defense activities. During times of war and other geopolitical tensions or conflicts, we, the third parties with whom we work and our customers may be vulnerable to a heightened risk of these attacks, including retaliatory cyber-attacks, that could materially disrupt our systems and operations, supply chain and ability to distribute our products and services.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our employees and, to our knowledge,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artificial intelligence (“AI”) and other similar threats.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 particularly for companies like ours that are engaged in product and service delivery — and can lead to significant interruptions in our operations, ability to provide our products or services, loss of sensitive data and income, reputational harm, diversion of funds and other adverse consequences. Extortion payments may alleviate the negative impact of a ransomware attack, but we may be unwilling or unable to make such payments due to, for example, applicable laws or regulations prohibiting such payments.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 may be difficult and/or costly to detect and, where appropriate,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personnel utilize network connections, computers and devices outside our premises or network, including working at home, while in transit and in public locations. Additionally, future business transactions (such as acquisitions or integrations) could expose us to additional cybersecurity risks and vulnerabilities, as our systems could be negatively affected by vulnerabilities present in acquired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reliance on third parties could introduce new cybersecurity risks and vulnerabilities, including supply-chain attacks, and other threats to our business operations. Our quantum software platform is built to be accessed through third-party cloud providers, and we rely on these and other third-party service providers and technologies to operate critical business systems to process sensitive information in a variety of contexts, including, without limitation, other cloud-based infrastructure, data center facilities, encryption and authentication technology, personnel email and instant messaging, password management, asset management, HRIS, corporate expenses content delivery to customers, and other functions. We also rely on third-party service providers to provide other products, services or parts, or otherwise to operate our business. Our ability to monitor these third parties’ information security practices is limited, and these third parties’ may not be effective in protecting against all cybersecurity risks and vulnerabilities.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of the previously identified or similar threats have in the past and may in the future cause a security incident or other interruption that could result in unauthorized, unlawful, or accidental access to, or acquisition, modification, destruction, loss, alteration, encryption, disclosure or other processing of our sensitive information or our information technology systems, or those of third parties with whom we work. For example, we have been the target of phishing attacks in the past and expect such attempts will continue in the future. A security incident or other interruption could disrupt our ability (and that of third parties with whom we work) to provide our products and services.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contractor that provides support to a number of U.S. federal agencies, such as the Department of Defense, we are required to comply with a variety of contract clauses related to the safeguarding of sensitive Controlled Unclassified Information (“CUI”) on our information systems as specified in NIST 800.171. Responsibilities include providing adequate security on information systems, completing and reporting system compliance assessments, reporting security breaches, and prohibiting the acquisition and use of covered defense telecommunications equipment or services. Contracts issued by the Government of Canada commonly address how private-sector suppliers must safeguard and handle Protected and Classified information, assets, and work sites and such related requirements typically address facility security clearances, information system security, personnel security screening, subcontractor screening and flow-downs, incident management and reporting, and use and disclosure limits. To the extent we are unable to comply with these or similar requirements, we will be unable to bid on applicable contract awards or on follow-on awards for existing work, or be ineligible to receive option awards under existing contracts with such requirements. This could adversely impact our revenue and profitability. In addition, our subcontractors, and in some cases our vendors, may also be required to adhere to the NIST 800.171 or other flow-down requirements. Should our supply chain fail to meet compliance requirements, this may adversely affect our ability to receive awards or execute on relevant government programs or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as a contractor supporting defense and national security customers, we are subject to certain additional contractual and regulatory compliance requirements relating to data privacy and cybersecurity. We are also subject to the U.S. Department of Defense Cybersecurity Maturity Model Certification (“CMMC”) requirements, which will require all contractors to receive specific certifications relating to specified cybersecurity standards in order to be eligible for contract awards. In addition, CMMC certification requirements may be required in modifications to existing contracts. To the extent we are unable to achieve certification in advance of applicable contract awards that specify the requirement, we will be unable to bid on such contract awards or on follow-on awards for existing work with the Department of Defense, depending on the level of standard as required for each solicitation, or be ineligible to receive option awards under existing contracts that specify the certification requirement, which could adversely impact our revenue and profitability. To the extent we are unable to comply with our contractual and regulatory compliance requirements related to data privacy or cybersecurity (including in our government contracts), we could face adverse consequences such as loss of customers and claims. In addition, our subcontractors, and in some cases our vendors, may also be required to adhere to the CMMC program requirements and potentially to achieve certification. Should our supply chain fail to meet compliance requirements or achieve certification, this may adversely affect our ability to receive awards or execute on relevant government programs. In addition, any obligations that may be imposed on us under the CMMC may be different from or in addition to those otherwise required by applicable laws and regulations, which may cause additional expense for compliance.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expend and may in the future expend significant resources to try to protect against security incidents. Further, we have in the past and may in the future modify our business activities to try to protect against security incidents. Additionally, certain privacy and security obligations (including contracts with customers) require us to implement and maintain specific security measures or industry-standard or reasonable security measures to protect the relevant information technology systems and sensitive 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Applicable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are costly, and the disclosure or the failure to comply with such requirements could lead to adverse consequences.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adverse consequences, such as: notification obligations;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products or services, deter new customers from using our products or services, and negatively impact our ability to grow and operate our business.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AI may result in reputational harm, legal liability, competitive risks, and regulatory concerns that could adversely affect our business, operating results, and financial condition.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made, and expect to continue to make, significant investments to integrate AI, including generative AI, and machine learning technology, into our business. Many AI technologies are relatively new and present ethical, legal, regulatory, and reputational challenges. The use of datasets to develop AI models, the content generated by AI systems, or the application of AI systems may be found to be insufficient, offensive, biased, or harmful, or may violate current or future laws and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Further, we generally rely on third-party models for the AI features in software used in our business. Our ability to continue to use such technologies at scale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unavailable for use, or if the providers of such models unfavorably change the terms on which their AI technologies are offered or terminate their relationship with us, our business, operating results, and financial condition could be adversely impacted.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business, as well as our reputation and the reputations of our customers, could suffer, and we could incur liability resulting from the violation of laws, breach of contract claims, or civil claims. In addition, the use of AI applications by our employees, personnel, or vendors may result in data leakage or unauthorized exposure of data, including, but not limited to, confidential business information, the personal data of end users, or other sensitive information relating to us or our customers. Such leakage or unauthorized exposure of data related to the use of AI applications could result in legal claims or liability or otherwise adversely affect our reputation and operating results.</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use AI tools in our business, including generative AI, and we expect to use AI tools in the future, including to generate code and other materials incorporated into our quantum computing technology and related software and applications, marketing materials, reports, proprietary software, and systems, and for other internal and external uses, and we are making investments to expand our AI capabilities. Advanced generative AI tools, which may produce content indistinguishable from that generated by humans, are a relatively novel development, with benefits, risks, and liabilities still unknown. Recent decisions of Governmental Entities and courts (such as the U.S. Copyright Office, U.S. Patent and Trademark Office, and U.S. Court of Appeals for the Federal Circuit) interpret U.S. copyright and patent law as limited to protecting works and inventions created by human authors and inventors, respectively. We are therefore unlikely to be able to obtain U.S. copyright or patent protection for works or inventions wholly created by a generative AI tool, and our ability to obtain U.S. copyright and patent protection for source code, text, inventions, or other materials, which are developed with some use of generative AI tools, may be limited, if available at all. Likewise, the availability of such IP protections in other countries is unclear. In addition, we may have little or no insight into and no control over the content and materials used by vendors to train these generative AI tools, or that otherwise use or incorporate these AI tools into their own offerings. There is ongoing litigation over whether the use of copyrighted materials to train the AI models used in these tools is lawful, and the impact of decisions in such litigation on our use of generative AI tools is unknown. Furthermore, our vendors who use AI tools, whether generative or agentic in nature, in their own offerings may not meet existing or rapidly evolving regulatory or industry standards, including with respect to the rights of others, privacy and data security. Additionally, our use of third-party generative AI tools to develop source code, text, inventions, or other materials may expose us to greater risks than utilizing contracted human developers, as third-party vendors of generative AI tools may not provide sufficient warranties or indemnities with respect to the output generated by such generative AI tools, and generative AI tools may also hallucinate, providing output that appears correct but is erroneous. Furthermore, some generative AI tools may be offered under terms that do not protect the confidentiality of the prompts or inputs that users submit to such tools and may use prompts or inputs to train shared AI models, potentially resulting in third-party users receiving outputs containing information from prompts or inputs (including confidential, competitive, proprietary, or personal data) that we submitted to the tool. The disclosure and use of personal data in AI technologies is also subject to various privacy laws and other privacy obligations.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are working to develop and implement policies surrounding our use of third party generative and agentic AI tools, any such policies may be insufficient to evaluate and mitigate potential legal, security, and business risks. Our practices may not be error free, and our use of such tools may inadvertently violate a third party’s rights, be non-compliant with the applicable terms of use or our other legal obligations, or result in a security or privacy risk or data leakage. Our use of AI technology could result in additional compliance costs, regulatory investigations and actions, and lawsuits. For example, we may face new or enhanced governmental scrutiny, or claims from third parties claiming infringement of their intellectual property rights or mandatory compliance with open-source software or other license terms with respect to software or other materials or content we believed to be available for use and not subject to license terms or other third-party proprietary rights. Any of these claims could result in legal investigations or proceedings. Furthermore, if we are found to be in violation of third party rights based on our use of AI tools, we could be required to purchase costly licenses, comply with the requirements of third-party licenses,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to generate code may also present additional security risks because the generated source code may contain security vulnerabilities. Additionally, vendors of generative AI tools may fail to comply with their contractual obligations to us regarding the confidentiality or security of any data or other inputs provided to such vendor or outputs generated by their generative AI tools.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use of AI could result in additional compliance costs, regulatory investigations and actions, and lawsuits. The regulatory environment for AI technologies is rapidly evolving, as several jurisdictions around the globe, including in Europe, certain states in the United States, and in Canada where federal, provincial and foreign government bodies and agencies have proposed, enacted, or are considering laws governing the development and use of AI. Legislation related to AI technologies has been introduced or passed at various governmental levels in Canada, the United States and Europe. For example, in the United States, several states are applying their data and consumer protection laws to AI, have enacted, or are enacting or considering legal frameworks on AI, such as the Utah Artificial Intelligence Policy Act, the Colorado Artificial Intelligence Act and the California Consumer Privacy Act of 2018 (“CCPA”) regulations on automated decision-making technology and in Europe, the European Union Artificial Intelligence Act (the “EU AI Act”) regulates the development and deployment of AI systems. In parallel, industry standards regarding AI are also developing quickly and may be difficult to interpret or implement consistently across jurisdictions. Additionally, existing laws and regulations may be interpreted in ways that could affect our use of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Already, certain existing legal regimes, for example, relating to data privacy, regulate certain aspects of AI technologies, and new laws regulating AI technologies have entered into force in the United States and Canada or are expected to enter into force in the near future. Such additional regulations may impact our ability to develop, use, and commercialize AI technologies. It is possible that further new laws and regulations will be adopted in the United States, Europe, Canada and other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offerings and the way in which we use AI technologies. We may need to expend resources to adjust the manner in which we conduct business in certain jurisdictions if these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operating results, and financial condition.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any changes to the above discussed existing legal regimes with respect to data privacy and AI technologies could require us to expend significant resources to modify our quantum computing technology and related software and applications, development plans, services, or operations to ensure compliance or remain competitive.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including as a result of certain catastrophic events, may disrupt our business, could limit our ability to grow and could negatively affect our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customers and potential customers. Negative conditions in the general economy in Canada, the United States and abroad, including conditions resulting from changes in gross domestic product growth, inflation, financial and credit market fluctuations, international trade relations and tariffs, pandemics, natural catastrophes, warfare and terrorist attacks, could cause a decrease in business investments, including the progress on development of quantum technologies, and negatively affect the future growth of our business. Geopolitical tensions in and around Taiwan, Ukraine, the Middle East and other areas of the world have created extreme volatility in the global capital markets and are expected to have further global economic consequences, including disruptions of the global supply chain and energy markets, and further acts of war, terror, or responses to each could result in similar or increased impacts on the global economy. Increased inflation rates can adversely affect us by increasing our costs, including labor and employee benefit costs. Employee salaries and benefits expenses have increased as a result of economic growth, increased demand for business services and increased competition for trained and talented employees, among other wage-inflationary pressures, and we cannot assure you that they will not continue to rise. In addition, higher inflation also could increase our customers’ operating costs, which could result in reduced budgets for our customers and potentially less demand for our platform and the development of quantum technologies. Any significant increases in inflation and related increase in interest rates could have a material adverse effect on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in challenging economic times, our current or potential future customers may experience cash flow problems and as a result may modify, delay or cancel plans to purchase our products and services. Additionally, if our customers are not successful in generating sufficient revenue or are unable to secure financing, they may not be able to pay, or may delay payment of, accounts receivable due to us. Moreover, our key suppliers, some of which we have not yet developed partnerships or entered into long term supply agreements with, may reduce their output or become insolvent, thereby adversely impacting our ability to carry out our research activities and eventually manufacture our products. Furthermore, uncertain economic conditions may make it more difficult for us to raise funds through borrowings or private or public sales of debt or equity securities. We cannot predict the timing, location, strength or duration of any economic slowdown, instability or recovery, generally or within any particular industry.</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actions and regulations, such as tariffs and trade protection measures, may adversely impact our business, including our ability to obtain products from our suppliers.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Political challenges between the United States and countries in which we operate or countries in our supply chain and changes to trade policies, including tariff rates and customs duties, trade relations between the United States and other countries, including Canada, and other macroeconomic issues could adversely impact our business. The United States administration has imposed and proposed to impose additional tariffs, duties and other trade protection measures on certain products imported into the United States, and certain countries, including Canada, have imposed or proposed to impose tariffs in response to the actions of the United States. The likelihood of an increase in existing, or the imposition of new, tariffs, duties and other trade restrictions on goods sourced from other countries has materially increased in light of comments by the current U.S. presidential administration, which has repeatedly communicated an intention to impose additional duties on imports from other countries. The U.S. government continues to add additional entities to restricted party lists impacting the ability of U.S. companies to provide products and technology, and, in certain cases, services, to these entities and, in some cases, to receive products, technology or services from these entities. The U.S. government also continues to increase end-use restrictions on the provision of products, technology and services to other countries including end-uses related to advanced computing. The current U.S. presidential administration has signaled its intention to use U.S. trade policy, including tariffs and other trade restrictions, as an important foreign policy tool presenting uncertainty regarding the impact of future trade policies on our business. There is also a possibility of future tariffs, trade protection measures or other restrictions imposed on our products or on our customers by the United States or other countries that could have a material adverse effect on our business and supply chains. Additionally, changes in trade policy may adversely affect the macroeconomic environment in certain of the jurisdiction in which we do business.</w:t>
      </w:r>
    </w:p>
    <w:p>
      <w:pPr>
        <w:spacing w:after="0" w:line="19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Given the relatively fluid regulatory environment and uncertainty regarding how the U.S. government or other foreign governments will act with respect to tariffs and international trade agreements and policies, a trade war, further governmental action related to tariffs or international trade policies, or additional tax or other regulatory changes in the future could directly and adversely impact our financial results and results of operations. We cannot predict what actions may ultimately be taken with respect to trade relations between the United States and other countries, what products may be subject to such actions or what actions may be taken by the other countries in retaliation. If we are unable to obtain or use components for inclusion in our products, if component prices increase significantly or if we are unable to export or sell our products to any of our customers, our business, liquidity, financial condition and/or results of operations would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divestitures, strategic investments and strategic partnerships could disrupt our business and harm our financial condition and operating results.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While we are currently focused on our core development activities, we may pursue growth opportunities by acquiring complementary businesses, solutions or technologies through strategic transactions, investments or partnerships. Acquisitions and investments involve a number of risks, such as:</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and management efforts that are needed in other areas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our corporate culture;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products and hosting infrastructure of the acquired company, as applicable, difficulties associated with supporting new products or services, difficulty converting the customers of the acquired company onto our platform and difficulties associated with contract terms, including disparities in the revenues, licensing, support or professional services model of the acquired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past intellectual property infringement or data security issues arising from the acquired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existing business relationships with customers as a result of the acquisition or investment;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identification of suitable acquisition, strategic investment or strategic partnership candidates can be costly and time consuming and can distract our management team from our current operations. If such strategic transactions require us to seek additional debt or equity financing, we may not be able to obtain such financing on terms favorable to us or at all, and such transactions may adversely affect our liquidity and capital structure. To the extent we issue equity and/or convertible securities as consideration in such strategic transactions, our shareholders may experience substantial dilution, which could adversely affect our share price, or result in issuances of securities with superior rights and preferences to our Class B Subordinate Voting Shares or the incurrence of debt with restrictive covenants that limit our future uses of capital in pursuit of business opportunities. Any strategic transaction might not strengthen our competitive position, may increase some of our risks, and may be viewed negatively by our customers, partners or investors. Even if we successfully complete a strategic transaction, we may not be able to effectively integrate the acquired business, technology, systems, control environment, solutions, personnel or operations into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experience unexpected changes in how we are required to account for strategic transactions pursuant to U.S. GAAP. We may also not achieve the anticipated benefits of any strategic transaction. 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incur unexpected costs, claims or liabilities that we incur during the strategic transaction or that we assume from the acquired company, or we may discover adverse conditions post-acquisition for which we have limited or no recourse.</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transactions may be subject to approval by third parties, including by relevant government authorities, which could result in increased delay and costs, and may disrupt our business strategy if such approvals are ultimately denied or conditions are imposed on the approval. Acquisitions and the subsequent integration of new assets, businesses, key personnel, partners, customers, vendors and suppliers would likely require significant attention from our management and could result in a diversion of resources from our existing business, which in turn could have a material adverse effect on our operations. Acquired assets or businesses may also fail to generate the business or financial results we expect. Key personnel or large numbers of employees who join us through acquisitions may decide to leave to work for other businesses, including our competitors, thereby diminishing the value of our acquisitions. Acquisitions may also entail significant cash expenditures, dilutive issuances of equity securities, the incurrence of significant indebtedness, potential impairments of goodwill, amortization expenses for other intangible assets and exposure to unknown liabilities of acquired businesses. The professional services and other transactional costs associated with selecting, executing and integrating acquisitions may also be significant. Any failure to successfully identify, complete, manage and integrate acquisitions could materially and adversely affect our business, prospects, financial condition and results of operations, and could cause our share price to decline.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in the past, and could also suffer future disruptions, outages, and other performance and quality problems with our quantum or information systems, our facilities, and other infrastructure on which they rely.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offering depends on our quantum information systems being available. We have experienced, and may in the future experience, disruptions, outages, defects and other performance and quality problems with our systems. We have also experienced, and may in the future experience, disruptions, outages, defects and other performance and quality problems with the public cloud, internet, private data center providers, facilities in which we build and deploy our systems and technology. These problems can be caused by a variety of factors, including software or firmware updates, vulnerabilities and defects in proprietary software and open-source software, hardware components, human error or misconduct, capacity constraints, design limitations, denial of service attacks or other security-related incidents, foreign objects or debris, weather, construction, supply chain events, or accidents and other force majeure. We do not have a contractual right with our public cloud providers that compensates us for any losses due to availability interruptions in the public cloud.</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disruptions, outages, defects and other performance and quality problems with our quantum information systems or with the public cloud, internet and other information systems and infrastructure on which they rely, could result in reduced use of our systems, increased expenses, delayed delivery under our contractual commitments, and harm to our brand and reputation, any of which could have a material adverse effect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contain defects in design and manufacture that may cause them to not perform as expected or that may require repair, recalls and design changes.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quantum information systems may contain defects in design and manufacture that may cause them to not perform as expected or that may require repair, recalls and design changes. Our quantum solutions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products. There can be no assurance that we will be able to detect and fix any or all defects in our quantum solutions. If our products fail to perform as expected, customers may delay deliveries, terminate further orders or initiate product recalls, each of which could adversely affect our sales and brand and could adversely affect our business, prospects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element of our business is currently dependent upon our relationship with our cloud providers. There are no assurances that we will be able to commercialize quantum computers from our relationships with cloud providers or that our relationships with such cloud providers will not change.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offer PennyLane on public clouds provided by AWS’s Amazon Braket and IBM Quantum. The companies that own these public clouds have internal quantum computing efforts that are competitive to our technology. There is risk that one or more of these cloud providers could use their respective control of their clouds to embed innovations or privileged interoperating capabilities in competing products, bundle competing products, provide us with unfavorable pricing or decline to provide us access to their cloud, leverage their cloud customer relationships to exclude us from opportunities, and treat us and our end users differently with respect to terms and conditions or regulatory requirements than they would treat their similarly situated customers.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material change in our contractual and other business relationships with our public cloud providers could result in harm to our brand and reputation and reduced use of our systems, which could have a material adverse effect on our business, financial condition and results of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photonic qubits can operate at or near room temperature, certain optical and electronic subsystems (e.g., detectors, stabilization assemblies or supporting electronics) may require temperature control or other environmental conditioning to meet fidelity and stability targets. If our systems require more stringent operating conditions than anticipated, or if we cannot achieve performance targets without cooling or precision environmental controls, our cost, footprint, power needs and serviceability could increase, delaying commercialization and impairing customer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Expansion and Future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success depends, in part, on our ability to expand sales internationally, our business will be susceptible to risks associated with international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maintain our head office in Canada and have offices and/or have personnel in the United States, the United Kingdom, Europe, India and Australia. In the year ended December 31, 2025, our Canadian, U.S., and non-Canadian and non-U.S. revenue was approximately 17%, 77% and 6% of our total revenue, respectively. In the three months ended March 31, 2026, our Canadian, U.S., and non-Canadian and non-U.S. revenue was approximately 2%, 89% and 9% of our total revenue, respectively. We expect to continue to expand our international operations by developing our sales and operations presence internationally, which may include opening offices in new jurisdictions. Any additional international expansion efforts that we may undertake may not be successful. In addition, conducting international operations subjects us to new risks, some of which we have not generally faced in Canada or other countries where we currently transact. These risks include, among other things:</w:t>
      </w:r>
    </w:p>
    <w:p>
      <w:pPr>
        <w:spacing w:after="0" w:line="189" w:lineRule="exact"/>
        <w:rPr>
          <w:sz w:val="20"/>
          <w:szCs w:val="20"/>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practical difficulties of enforcing intellectual property rights in countries with varying laws and standards and reduced or varied protection for intellectual property rights in some countries;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evolving legal framework and additional legal or regulatory requirements for privacy and cybersecurity, which may necessitate the establishment of systems to maintain data in local markets, requiring us to invest in additional data centers and network infrastructure, and the implementation of additional employee privacy documentation (including locally compliant privacy notices and policies), all of which may involve substantial expense and may cause us to need to divert resources from other aspects of our business, all of which may adversely affect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trade laws, tariffs, export quotas, custom duties or other trade restrictions;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funds;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scarcity of hard currency, including the U.S. dollar, which may require a transfer or loan of funds to the operations in such countries, which they may not be able to repay on a timely basis;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partners;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unexpected supply chain challenges or delays;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longer accounts receivable payment cycles, and difficulties in collecting accounts receivable;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including the proper classification of independent contractors and other contingent workers, differing employer-employee relationships and local employment laws;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involved with recruiting and retaining an expanded employee population, including highly skilled workers and leaders in the quantum computing industry, outside of Canada through cash and equity-based incentive programs, and legal costs and regulatory restrictions in issuing our shares to employees outside of Canada;</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and regulatory changes that may lead to restrictions on immigration and travel for our employees;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that may decrease the value of our foreign-based revenue or increase the cost of our foreign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public health threats or geopolitical events such as tensions in and around Taiwan, Ukraine, the Middle East and other areas of the world;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nationalization or expropriation;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market uncertainty;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restrictions on the repatriation of earnings and transfer pricing requirements; and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establishment risks and complexities in connection with international payroll, tax and social security requirements for international employees.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50" w:name="page51"/>
    <w:bookmarkEnd w:id="50"/>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also substantially increases our cost of doing business in foreign jurisdictions. We have limited experience in marketing, selling and supporting our services and platform outside of Canada.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are in the process of assessing and implementing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subject us to additional risks and costs and exposure to foreign currency exchange rate fluctuations, that can adversely affect our business, financial condition, revenues, results of operations or cash flows.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continuing to explore the expansion of our international operations as part of our growth strategy. However, there are a variety of risks and costs associated with our international sales and operations, which include making investments prior to the sales or use of quantum computers, the cost of conducting our business internationally and hiring and training international employees and the costs associated with complying with local law. Furthermore, we cannot predict the rate at which our quantum solutions will be accepted in international markets by potential customers.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sales, support and engineering organization in the United States is substantially smaller than our Canadian sales organization. We believe our ability to attract new customers to enter into development agreements or partnerships with us, subscribe to our platform or to attract existing customers to renew or expand their use of our platform is directly correlated to the level of engagement we obtain with the customer. To the extent we are unable to effectively engage with U.S. and non-Canadian customers due to our limited sales force capacity, we may be unable to effectively grow in international markets.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our international operations expand, our exposure to the effects of fluctuations in currency exchange rates grows. While we have primarily transacted with customers in U.S. and Canadian dollars historically, we expect to continue to expand the number of transactions with our customers that are denominated in foreign currencies in the future. Additionally, fluctuations in the value of the U.S. dollar, Canadian dollar and foreign currencies may make our products and services more expensive for international customers, which could harm our business. Additionally, we incur expenses for employee compensation and other operating expenses for our non-U.S. employees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 We may attempt to mitigate a portion of these risks through foreign currency hedging based on our judgment of the appropriate trade-offs among risk, opportunity and exposure. Any future hedging activities may not offset the full, or in some cases any, adverse financial impact resulting from unfavorable movement in foreign currency exchange rates, which could adversely affect our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greater than anticipated tax liabilities.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amount of taxes we may pay in different jurisdictions depends on the application of the tax laws of various jurisdictions, including Canada and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Like many other multinational companies, we are subject to tax in diverse jurisdictions and have structured our operations to reduce our effective tax rate. The taxing authorities of the jurisdictions in which we operate may challenge our methodologies for pricing intercompany transactions pursuant to any future intercompany arrangement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Compliance with Law, Government Regulation and Litigation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trade and economic sanctions laws that could impair our ability to compete in global markets and subject us to liability if we are not in full compliance with applicable laws and other controls.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products, technology and services, and our operations and personnel are subject to various restrictions under export controls, import laws and regulations, and economic sanctions laws of Canada, the United States, and other jurisdictions in which we conduct business, including the Canadian Export and Import Permits Act, Special Economic Measures Act, Justice for Victims of Corrupt Foreign Officials Act, U.S. Export Administration Regulations administered by the U.S. Department of Commerce, the International Traffic in Arms Regulations administered by the U.S. Department of State’s Directorate of Defense Trade Controls, U.S. Customs regulations and trade and economic sanctions laws administered by the U.S. Department of Treasury’s Office of Foreign Assets Control. Export controls and trade and economic sanctions laws include restrictions or prohibitions on the sale or supply of certain products, technologies and services to embargoed or sanctioned countries and territories, and governments of these jurisdictions, as well as other countries, Persons and entities. Additionally, under these current and future laws and regulations, exports of our products, technology and services, as well as the underlying technology, may require export authorizations, including by license, a license exception or other appropriate government authorizations, and the filing of a classification request or certain reports to use a license exception, as applicable. If we need to obtain any necessary export licenses or other authorizations for a particular transaction, the process may be time-consuming and may result in the delay or loss of opportunities, and as a result, our business could be materially adversely affected.</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take precautions to prevent our products and services and the underlying technology from being provided, deployed or used in violation of export controls and sanctions laws and regulations. However, we cannot provide assurance that such measures have prevented, or will prevent, violations by us or our partners or agents. Any violation of sanctions or export controls, including failure to obtain appropriate import, export or re-export licenses or authorizations, could result in significant monetary fines and penalties and government investigations, delays in approving or denials of export licenses and reputational harm and loss of business.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United States and Canada, various other countries regulate the import and export of certain products and technology, including import and export licensing requirements, and have enacted laws that could limit our ability to distribute our products, technologies, and services or could limit our customers’ ability to implement our products, technologies and services in those countries. The United States, Canada and several other countries have also recently enacted export controls on quantum computing technology and related software solutions and applications at specified levels of technological advancement. We will continue to review our existing compliance measures to ensure compliance with any applicable regulatory changes. We expect to incur significant costs in complying with these regulations. Regulations related to quantum computing are evolving and we may face additional risks associated with changes to these regulations as well as increased licensing requirements and other restrictions.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Changes in our products, or future changes in export and import and sanctions laws and regulations, may create delays in the introduction of our products and the underlying technology in international markets, prevent our clients with global operations from deploying our products globally, adversely affect our ability to hire personnel from certain countries to work on our products, or, in some cases, prevent the export or import of our products to certain countries, governments or persons altogether.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change in export or import controls, economic sanctions laws or related legislation, shift in the enforcement or scope of existing laws and regulations, or change in the countries, governments, persons or technologies targeted by such regulations, could result in decreased use of our products by, or in our decreased ability to export or sell our products to, existing or potential customers. Any decreased use of our products or limitation on our ability to export or sell our products in major international markets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which could harm our financial condition and liquidity if we are not able to successfully defend or adequately insure against such claims.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become subject to product liability claims, even those without merit, which could harm our business prospects, operating results and financial condition. We may face inherent risk of exposure to claims in the event our quantum solutions do not perform as expected or malfunction. A successful product liability claim against us could require us to pay a substantial monetary award; even an unsuccessful claim may involve the expenditure of substantial funds in order to defend. Moreover, a product liability claim could generate substantial negative publicity about our quantum solutions and business and inhibit or prevent commercialization of other future quantum computing technology and related software solutions and applications,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 with government entities subject us to risks, including early termination, audits, investigations, sanctions and penalties.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entered into and may enter into additional contracts with government entities, including contracts with the U.S. Department of Defense, among others, which subject our business to statutes and regulations applicable to companies doing business with the government, including the Federal Acquisition Regulation in the U.S. and the Government Contracts Regulations in Canada. These government contracts customarily contain provisions that give the government substantial rights and remedies, many of which are not typically found in commercial contracts and which are unfavorable to contractors. For instance, most contracts with U.S. or Canadian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to the government for damages caused by the default, including for any extra costs incurred by the government in procuring undelivered items from another source.</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government contracts normally contain additional requirements that may increase our costs of doing business, reduce our profits, and expose us to liability for failure to comply with these terms and conditions. These requirements could include, for example:</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disclosure and accounting requirements unique to government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safeguards and assessments beyond what are typically required by commercial equivalents;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compliance audits of our cost structure, accounting controls and procedures and adequacy of our policies and systems to meet regulatory or contractual requirements. These audits may result in potential liability for price adjustments, recoupment of government funds after such funds have been spent, civil and criminal penalties, or administrative sanctions such as suspension or debarment from doing business with government entities;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the government certain rights to inventions, data, software codes and related material that we develop under government-funded contracts and subcontracts, which may permit the government to disclose or license this information to third parties, including, in some instances, our competitors;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requirements to fulfill government contracts ahead of our commercial contracts (for example, under the Defense Priorities and Allocations System Program in the U.S. or the </w:t>
      </w:r>
      <w:r>
        <w:rPr>
          <w:rFonts w:ascii="Times New Roman" w:cs="Times New Roman" w:eastAsia="Times New Roman" w:hAnsi="Times New Roman"/>
          <w:sz w:val="18"/>
          <w:szCs w:val="18"/>
          <w:i w:val="1"/>
          <w:iCs w:val="1"/>
          <w:color w:val="auto"/>
        </w:rPr>
        <w:t>Defense Production Act</w:t>
      </w:r>
      <w:r>
        <w:rPr>
          <w:rFonts w:ascii="Times New Roman" w:cs="Times New Roman" w:eastAsia="Times New Roman" w:hAnsi="Times New Roman"/>
          <w:sz w:val="18"/>
          <w:szCs w:val="18"/>
          <w:color w:val="auto"/>
        </w:rPr>
        <w:t xml:space="preserve"> in Canada), which could prevent us from meeting our commercial customer contracts’ requirements or schedules;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disclosures of certain contract and company information;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security and privacy framework compliance requirements, including the handling of controlled unclassified information in the U.S. or protected or classified data in Canada;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socioeconomic compliance requirements, including labor requirements, non-discrimination and affirmative action programs and environmental, health and safety compliance requirements.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Government contracts are also generally subject to greater scrutiny by the government than commercial contracts are by commercial customers. For example, government agencies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U.S. Federal Civil False Claims Act (including treble damages and other penalties), or criminal law. In particular, the False Claims Act’s “whistleblower” provisions also allow private individuals, including present and former employees, to sue on behalf of the U.S. government. Any penalties, fines, suspension, or damages could adversely affect our ability to operate our business and our financial results. Responding to any investigation or action relating to government contracts could result in a significant diversion of management’s attention and resources and significant defense costs and other professional fees.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customers may also include non-U.S. and non-Canadian governments. Similar procurement, budgetary, contract and audit risks that apply in the context of U.S. or Canadian government contracting may also apply to our doing business with these entities. In addition, compliance with complex regulations and contracting provisions in a variety of jurisdictions can be expensive and consume significant management resources.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injury or violates laws or regulations, we could be liable for damages or subject to enforcement actions.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research and product development activities currently require the controlled use of potentially harmful hazardous materials. We cannot eliminate the risk of contamination, exposure or injury to employees or third parties from the use, storage, transportation, handling or disposal of these materials. In the event of contamination, exposure or injury, we could be held liable for any resulting damages, and any liability could exceed our resources or any applicable insurance coverage. Additionally, we are subject to, on an ongoing basis, laws and regulations in the jurisdictions in which we operate governing the use, storage, handling, labeling, transportation, transfer, discharge and disposal of these materials and specified waste products. We generally use third-party vendors to transport and dispose of waste, including regulated medical waste, hazardous waste and/or radioactive materials that we may use during research. The cost of compliance with these laws and regulations, including new legislation or regulations, may become significant and could have a material adverse effect on our financial condition, operations and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requirements relating to environmental health and safety regulations and environmental remediation matters, which could adversely affect our business, results of operation and reputation.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laws and regulations in the jurisdictions in which we operate governing, among other things, solid and hazardous waste storage, treatment, transportation, and disposal, and remediation, response to and reporting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result in heightened regulatory enforcement, or require us to manufacture with alternative technologies and materials.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Governments and authorities in the jurisdictions in which we operate also regulate a variety of matters, including, but not limited to, health, safety, labeling, record keeping, and permitting in addition to the environmental matters discussed above. New legislation and regulations may require us to make material changes to our operations, resulting in significant cost increases, including production and compliance costs.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manufacturing process will have hazards such as, but not limited to, hazardous materials, machines with moving parts, and high voltage and/or high current electrical systems typical of manufacturing equipment and related safety incidents. There may be environmental, health or safety incidents that damage machinery or product, slow or stop production, or harm employees or the environment. Consequences may include regulatory enforcement measures, litigation, complaints, regulation, fines, increased insurance premiums, mandates to temporarily or permanently halt production, workers’ compensation claims, or other actions that impact the company brand, finances, or ability to operate.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and the third parties with whom we work are subject to stringent and evolving laws, regulations and rules, contractual obligations, industry standards, policies and other obligations in the jurisdictions in which we operate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Our data storage and processing activities may subject us to numerous privacy, data protection and security obligations, such as various laws, regulations, guidance, industry standards, external and internal privacy and security policies, contractual requirements and other obligations relating to data privacy, localization and security. Laws and regulations governing privacy, data protection and data sovereignty are rapidly evolving, extensive, complex, and include inconsistencies and uncertainties that may conflict with other rules or our practices. Further, new laws, rules, and regulations could be enacted with which we are not familiar or with which our practices do not comply.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Canada and the United States, federal, provincial, state and local governments have enacted numerous privacy and security laws, including data breach notification laws, personal data privacy laws, consumer protection laws (e.g., Section 5 of the Federal Trade Commission Act) and other similar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California consumers, business representatives and employees who are California residents, and requires covered businesses to provide specific disclosures in privacy notices and honor requests of such individuals to exercise certain privacy rights. The CCPA provides for fines and allows private litigants affected by certain data breaches to recover significant statutory damages. Similar laws are being considered in several other states, as well as at the federal and local levels, and we expect more states to pass similar laws in the future.</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Canada, the Personal Information Protection and Electronic Documents Act and substantially similar provincial privacy laws in Alberta, British Columbia and Québec include requirements to obtain meaningful consent for the collection, use, and disclosure of personal data (subject to limited exceptions), limit data collection to that which is necessary for identified purposes, ensure the accuracy and security of personal data, and afford individuals with certain rights with respect to their personal data (e.g., right to access, correct, withdraw consent). The exercise of these rights may impact our business and ability to provide our products and services. Québec’s recently amended private sector legislation includes stricter obligations, including a confidentiality by default standard, restrictions on transborder data transfers, requirements for technologies used to identify, locate and profile individuals and the use of automated decision making, and statutory obligations to conduct privacy impact assessments. These laws are enforced by Canadian privacy regulators through compliance agreements, orders, or court action. Canadian privacy laws also include potentially significant penalties. Québec’s recently amended privacy law also provides for penal fines of up to C$25 million or 4% of worldwide turnover (whichever is greater). We expect similar reforms to other federal and provincial privacy laws in Canada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Outside Canada and the United States, an increasing number of laws, regulations, industry standards and other obligations may govern privacy, data protection and security. For example, the European Union’s General Data Protection Regulation (“EU GDPR”), the UK’s General Data Protection Regulation (“UK GDPR”), Australia’s Privacy Act, and China’s Personal Information Protection Law (“PIPL”) impose strict requirements for processing personal data.</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example, under the EU and UK GDPR, companies may face temporary or definitive bans on data processing and other corrective actions; fines of up to 20 million Euros under the EU GDPR, 17.5 million pounds sterling under the UK GDPR or, in each case, or 4% of annual global revenue, whichever is greater; or private litigation related to processing of personal data brought by classes of data subjects or consumer protection organizations authorized at law to represent their interests. Additionally, we target customers in Asia and may be subject to new and emerging data protection and privacy regimes in Asia, including China’s PIPL, Japan’s Act on the Protection of Personal Information, and Singapore’s Personal Data Protection Act. For example, China’s PIPL imposes a set of specific obligations on covered businesses in connection with their processing and transfer of personal data and imposes fines of up to RMB 50 million or 5% of the prior year’s total annual revenue of the violator.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also become subject to new laws that regulate non-personal data.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data outside the European Economic Area (“EEA”). Depending on how the EEA and any similar laws are implemented and interpreted, we may have to adapt our business practices, contractual arrangements and services to comply with such obligations.</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each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various mechanisms may be used to transfer personal data from the EEA and UK to the United States in compliance with law, such as the EEA’s and UK’s respective standard contractual clauses, the EU-U.S. Data Privacy Framework, the UK extension to the EU-U.S. Data Privacy Framework, and the Swiss-U.S. Data Privacy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transferring or other processing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EU GDPR’s cross-border data transfer limitations. Regulators in other jurisdictions, including the United States, have also enacted and may, in the future, enact cross-border data restrictions the violation of which could lead to civil and criminal fines and penalties.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privacy, data protection and security laws, we are contractually subject to industry standards adopted by industry groups and may become subject to additional obligations in the future. We are also bound by other contractual obligations related to privacy, data protection and security, and our efforts to comply with such obligations may not be successful. For example, certain laws addressing privacy, data protection and security, such as the EU GDPR, Switzerland Federal Act on Data Protection (FADP), UK GDPR and CCPA, require our customers to impose specific contractual restrictions on their service providers. Additionally, some of our customers may require us to host personal data locally.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such as statements related to compliance with certain certifications or self-regulatory principles, regarding privacy, data protection and security. Regulators are increasingly scrutinizing these statements, and if these policies, materials or statements are or are perceived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Obligations related to privacy, data protection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privacy, data protection or security obligations. Moreover, despite our efforts, our personnel or third parties with whom we work may fail, or be perceived to have failed, to comply with such obligations, which could negatively impact our business operations. If we or third parties with whom we work fail, or are perceived to have failed, to address or comply with applicable privacy, data protection or security obligations, we could face significant consequences, including but not limited to: government enforcement actions (e.g., investigations, fines, penalties, audits, inspections and similar events); litigation (including class-action claims); additional reporting requirements and/or oversight; bans on processing personal data; and orders to destroy or not use personal data.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interruptions or stoppages in our business operations or data collection; limited ability to develop or commercialize our products; expenditure of time and resources to defend any claim or inquiry; adverse publicity; or substantial changes to our business model or operations.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Canadian, U.S., and other foreign anti-corruption, anti-bribery and similar laws, and non-compliance with such laws can subject us to criminal or civil liability and harm our business.</w:t>
      </w:r>
    </w:p>
    <w:p>
      <w:pPr>
        <w:spacing w:after="0" w:line="15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the Canadian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the Canadian </w:t>
      </w:r>
      <w:r>
        <w:rPr>
          <w:rFonts w:ascii="Times New Roman" w:cs="Times New Roman" w:eastAsia="Times New Roman" w:hAnsi="Times New Roman"/>
          <w:sz w:val="18"/>
          <w:szCs w:val="18"/>
          <w:i w:val="1"/>
          <w:iCs w:val="1"/>
          <w:color w:val="auto"/>
        </w:rPr>
        <w:t>Corruption of Foreign Public Officials Act</w:t>
      </w:r>
      <w:r>
        <w:rPr>
          <w:rFonts w:ascii="Times New Roman" w:cs="Times New Roman" w:eastAsia="Times New Roman" w:hAnsi="Times New Roman"/>
          <w:sz w:val="18"/>
          <w:szCs w:val="18"/>
          <w:color w:val="auto"/>
        </w:rPr>
        <w:t xml:space="preserve"> (“CFPOA”), the U.S. Foreign Corrupt Practices Act of 1977, as amended (the “FCPA”), the U.S. domestic bribery statute contained in 18 U.S.C. § 201, the U.S. Travel Act, and other anti-bribery, and anti-corruption laws in countries in which we conduct activities. Anti-corruption and anti-bribery laws are interpreted broadly to generally prohibit companies, their employees, and their third-party intermediaries from authorizing, promising, offering, providing, soliciting, or accepting, directly or indirectly, anything of value, which may include improper payments or benefits to or from any person whether in the public or private sector. We may engage with partners and third-party intermediaries to conduct our business abroad, including marketing our services and obtaining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The FCPA and the CFPOA also requires public companies to make and keep accurate books and records that accurately reflect the transactions of the corporation and to devise and maintain an adequate system of internal accounting controls. We cannot provide any assurance that all of our employees and agents will not take actions in violation of our compliance policies and applicable law, for which we may be ultimately held responsible. As a relatively new company, our compliance policies and systems may not be as robust as those companies which have a longer history and have access to larger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our business prospects and financial results.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income and other taxes in Canada,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share-based compensation; or lower than anticipated future earnings in jurisdictions where we have lower statutory tax rates and higher than anticipated future earnings in jurisdictions where we have higher statutory tax rates.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many countries, including Canada, have implemented or proposed changes to existing tax laws, including a 15% global minimum tax. Any of these developments or changes in Canadian or U.S. federal, provincial, state or international tax laws or tax rulings could adversely affect our effective tax rate and our operating results.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may adversely affect our business, financial condition, and results of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and future effective tax rates may be affected by changes in the mix of earnings in countries with differing statutory tax rates, changes in the valuation of deferred tax assets and liabilities and changes in tax laws or their interpretation. In addition, we may be subject to tax audits by various tax jurisdictions. Although we believe our tax liabilities are reasonably estimated and accounted for in accordance with applicable laws and principles, an adverse resolution by one or more taxing authorities may have a material impact on the results of our operations.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Investments in us may be subject to U.S. and Canadian foreign investment laws governing direct and indirect foreign acquisitions of and investments in U.S. or Canadian businesses. If applicable, such laws may impose conditions or limitations on a foreign investor’s ownership of and rights with respect to Xanadu or Old Xanadu (including, but not limited to, limits on an investor’s total ownership interest in and/or information and governance rights with respect to Xanadu or Old Xanadu).</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Certain transactions that involve the acquisition of or investment in a U.S. business by a non-U.S. buyer or investor may be subject to review and approval by the Committee on Foreign Investment in the United States (“CFIUS”). Whether CFIUS has jurisdiction to review an acquisition or investment transaction depends on — among other factors — the nature and structure of the transaction, including the level of beneficial foreign ownership interest and the nature of any information or governance rights afforded to a foreign shareholder. Certain transactions that involve the acquisition of or investment in a Canadian business by a non-Canadian buyer or investor may be subject to an extended national security review by the Government of Canada in accordance with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Quantum computing has been identified as a “sensitive sector” by the Government of Canada, meaning investments by non-Canadians in this sector may be subject to enhanced review.</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example, all investments that could result in foreign “control” of a U.S. business as that term is defined in the relevant regulations are subject to CFIUS jurisdiction. Foreign investments in U.S. businesses that have a qualifying nexus to “critical technology,” “critical infrastructure,” or “sensitive personal data” are subject to a lower CFIUS jurisdiction threshold that is triggered when a foreign investor will not “control” the U.S. business, but will be afforded certain information or governance rights, including board representation or observer rights, access to certain non-public technical information, or the right to involvement in certain company decision-making. When CFIUS has jurisdiction to review a foreign investment transaction involving a U.S. business that produces, develops, tests, manufactures, fabricates, or designs “critical technology,” such transaction may trigger a mandatory pre-closing CFIUS filing requirement.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Outside the United States, other countries are expanding their own foreign direct investment (“FDI”) regimes, pursuant to which investments in and transactions with companies that have a qualifying presence outside of the United States may be subject to review by non-U.S. FDI regulators. Any regulatory review of an investment or other transaction by CFIUS or other FDI regulator may have outsized impacts on transaction certainty, timing, feasibility, and cost, among other things. CFIUS and other FDI regulatory regimes are evolving. In the event CFIUS or another FDI regulator wishes to review one or more proposed or completed transactions between Xanadu and a foreign counterparty, there can be no assurances that such foreign counterparty will be able to maintain or proceed with such transaction on terms acceptable to such counterparty. With respect to Xanadu, CFIUS or other FDI regulators may exercise jurisdiction over such transactions and may seek to prohibit, unwind, or impose limitations or restrictions thereon. Should CFIUS or other FDI regulator determine that a transaction with a foreign counterparty violates relevant regulations, the parties thereto could face a financial penalty.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risks associated with litigation, investigations and regulatory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face legal, administrative and regulatory proceedings, orders, claims, demands and/or investigations involving shareholders, customers, competition and/or other issues relating to our business. Litigation and regulatory proceedings are inherently uncertain, and adverse rulings could occur, including monetary damages, or an injunction stopping us from operating or engaging in certain business practices, or requiring other remedies, such as compulsory licensing of patents.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unfavorable outcome or settlement or any other legal, administrative and regulatory proceeding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the laws and regulations our business is subject to are complex and change frequently. We may be required to incur significant expense to comply with changes in, or remedy violations of, these laws and regulations.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Our business and operations could be negatively affected if we become subject to litigation, including any securities litigation or shareholder activism, which could cause us to incur significant expense, hinder execution of business and growth strategy and impact the share price of our Shares.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price of our Class B Subordinate Voting Shares or other reasons may in the future cause it to become the target of securities litigation or shareholder activism. Securities litigation and shareholder activism, including potential proxy contests, could result in substantial costs and divert management’s and the Board’s attention and resources from our business, which may adversely affect our business, financial condition and results of operations. Additionally, such securities litigation and shareholder activism could give rise to perceived uncertainties as to our future, adversely affect our relationships with service providers and make it more difficult to attract and retain qualified personnel. We may also be required to incur significant legal fees and other expenses related to any securities litigation and activist shareholder matters.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our share price could be subject to significant fluctuation or otherwise be adversely affected by the events, risks and uncertainties of any securities litigation and shareholder activism.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to meet their contractual, legal, regulatory and other obligations.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distributors, suppliers, contract research organizations, vendors, service providers, business partners and other third parties to research, develop, manufacture, market and sell our products, as well as perform other services relating to our business. We rely on these third parties, some of which we have not yet developed partnerships or entered into long term supply agreements with, to meet their contractual, legal, regulatory and other obligations. A failure to maintain these relationships or poor performance by these third parties could negatively impact our business. In addition, we cannot guarantee that the contractual terms and protections and compliance controls, policies and procedures we have put in place will be sufficient to ensure that such third parties will meet their legal, contractual and regulatory obligations or that these terms, controls, policies, procedures and other protections will protect us from acts committed by our agents, contractors, distributors, suppliers, service providers or business partners that violate contractual obligations or the laws or regulations of the jurisdictions in which we operate, including matters respecting anti-corruption, fraud, bribery and kickbacks and false claims, pricing, sales and marketing practices, privacy laws and other legal obligations. Any failure of such third parties to meet these legal, contractual and regulatory obligations or any improper actions by such third parties or even allegations of such non-compliance or actions could damage our reputation, adversely impact our ability to conduct business in certain markets and subject us to civil or criminal legal proceedings and regulatory investigations, monetary and non-monetary damages and penalties and could cause us to incur significant legal and investigatory fees and, as a result, could have a material adverse effect on our business, financial condition and results of operations and could cause the price of our Class B Subordinate Voting Shares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secure sufficient license rights to intellectual property owned by our collaborators, or if we fail to comply with our obligations under our agreements with these collaborators, it could delay, prevent, or increase our costs of development and commercialization of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Collaboration with third parties to develop intellectual property is of critical importance to our business and our product development and commercialization plans and we are a party to co-development and collaboration agreements with third parties, including certain universities, foundries, government labs, and private companies, such as third party manufacturers. Our current and future plans may be heavily reliant upon these collaborations to develop patents, technology and other intellectual property that may be important or necessary to the development, manufacture and commercialization of our products. In some cases, these collaborations use certain intellectual property that may not be owned by the Company, and which intellectual property is not currently licensed to us under terms that would permit us to commercialize such intellectual property in our products. We expect that we will need to enter into additional license, supply and collaboration agreements in the future to secure sufficient license rights and supply terms that would enable us to bring our products to market and commercialize our products. There is no guarantee that these collaborators will be willing to enter into such agreements on commercially advantageous terms, if at all.</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our existing agreements with certain universities impose, and we expect that future license agreements with universities and other third party collaborators may impose, various financial and other obligations on us related to various commercial and development obligations. If we fail to comply with our obligations under our agreements with these collaborators, or if we fail to secure sufficient license rights to intellectual property owned by these collaborators, or if these third party collaborators otherwise have a right to terminate their current or future agreements with us, it could subject us to liability and substantially delay, prevent, or increase our costs of development, manufacturing, marketing and commercialization of our products, which could affect the competitive landscape for our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have worked with and expect to continue to work with certain foundries and component suppliers that retain ownership of certain intellectual property related to their manufacturing processes. If we decide to switch foundries or suppliers or diversify our supply chain, we may be unable to timely license such intellectual property or obtain similar intellectual property from an alternate source, on commercially reasonable terms or at all. In such case, we could be required to invest substantial time and resources to redesigning our products, which could delay or otherwise have a material adverse effect on the development and commercialization of such products.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Some of our collaboration agreements, particularly those involving participation by more than one organization, may also result in joint ownership of intellectual property arising from the collaboration, or require us to negotiate the allocation of intellectual property rights. There is no guarantee that we will be able to reach consensus on such allocation on terms that are favorable to us, or at all. Additionally, these agreements may expire and the collaborators may be unwilling to extend such agreements on acceptable terms, if at all. Our business could significantly suffer, for example, if any current or future license agreements terminate or expire, if the licensors or collaborators fail to abide by the terms of the agreement, or if we are unable to enter into, extend rights under, or renew necessary agreements on acceptable terms. Further, collaboration with universities and researchers may subject us to university IP or commercialization policies that grant the university certain rights in our intellectual property, such as joint ownership interests, licenses for research or teaching purposes, or rights to share in revenue derived from that intellectual property.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Collaboration with third parties to develop intellectual property and our future licensing of such intellectual property is of critical importance to our business and involves complex legal, business and scientific issues, and certain provisions in intellectual property license agreements may be susceptible to multiple interpretations. Disputes may arise between us and our collaborators regarding intellectual property subject to a current or future agreement, including:</w:t>
      </w:r>
    </w:p>
    <w:p>
      <w:pPr>
        <w:spacing w:after="0" w:line="18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relevant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and technology,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and results of operations. We may not be able to exercise all rights and remedies available to us, including seeking to cure any breach by us, and otherwise seek to preserve our rights under agreement in a timely manner, at an acceptable cost or at all. Moreover, if disputes over intellectual property impair our ability to maintain or expand our current collaboration relationships on acceptable terms, we may be forced to invest further time, effort and funds into development of replacement or alternative intellectual property or technology with different partners, or in some cases, we may be unable to successfully develop and commercialize our products or technology.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products and technology, or if the scope of the patent protection obtained is not sufficiently broad or robust, our competitors could develop and commercialize products and technology similar or identical to ours, and our ability to successfully commercialize our products and technology may be adversely affected. Moreover, our trade secrets could be compromised, which could cause us to lose the competitive advantage resulting from these trade secrets.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significant part, on our ability to obtain, maintain, enforce and defend patents and other intellectual property rights, including trade secrets, with respect to our products and technology and to operate our business without infringing, misappropriating or otherwise violating the intellectual property rights of others. We may not be able to prevent unauthorized use of our intellectual property. We rely upon a combination of the intellectual property protections afforded by patent, copyright, trademark and trade secret laws in the United States, Canada and other jurisdictions, as well as license agreements and other contractual protections, to obtain, maintain, enforce and defend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however, our employees and consultants may not abide by their obligations under their non-disclosure and invention assignment agreements. Our trade secrets may also be compromised, which could cause us to lose the competitive advantage from such trade secrets. Despite our efforts to protect our proprietary rights, third parties may attempt to copy or otherwise obtain and use our intellectual property. Monitoring unauthorized use of our intellectual property is difficult and costly, and the steps we have taken or will take to prevent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Patent, copyright, trademark and trade secret laws vary significantly throughout the world. A number of foreign countries do not protect intellectual property rights to the same extent as do the laws of Canada and the United States. Therefore, our intellectual property rights may not be as strong or as easily enforced outside of Canada and the United States and efforts to protect against the unauthorized use of our intellectual property rights, technology and other proprietary rights may be more expensive and difficult outside of Canada and the United States. 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in such patents is uncertain. As a result, we cannot be certain that the patent applications that we file will result in patents being issued, or that our patents and any patents that may be issued to us will afford protection against competitors with similar technology. Additionally, failure to comply with applicable procedural, documentary, fee payment, foreign filing license and other similar requirements with the United States Patent and Trademark Office and various similar foreign governmental agencies could result in abandonment or lapse of the affected patent or patent application. Numerous patents and pending patent applications owned by others exist in the fields in which we have developed and are developing our technology. In addition to those who may have patents or patent applications directed to relevant technology with an effective filing date earlier than any of our existing patents or pending patent applications, any of our existing patents or pending patent applications may also be challenged by others on the basis that they are otherwise invalid or unenforceable. Furthermore, patent applications filed in foreign countries are subject to laws, rules and procedures that differ from those of Canada and the United States, and thus we cannot be certain that foreign patent applications related to issued Canadian or U.S. patents will be issued.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our patent applications succeed and we are issued patents in accordance with them, it is still uncertain whether these patents — including any of the issued patents exclusively licensed to us — will be contested, circumvented, invalidated, found to be unenforceable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In addition, patents issued to us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often results from the complex government and/or university arrangements that are subject to interpretation, and we may become subject to claims challenging the inventorship or ownership of our patents and other intellectual property.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a party to many agreements under which our employees, contractors and consultants within the United States, Canada and other countries create intellectual property. Examples include negotiated research and license agreements, government grants, and employment or consulting relationships with professors and/or graduate or PhD students (which individuals may be subject to university intellectual property policies). Each of these relationships may include complex contractual provisions, or be subject to university intellectual property policies, which allocate intellectual property rights between us and our contractual counterparties and, in some cases, contemplate intellectual property rights being jointly owned, the granting of licenses for research or teaching purposes, or rights to share in revenue derived from that intellectual property. Such allocations of intellectual property rights often result from the interpretations of these provisions and policies based on, among other factors, what funds or resources were used, the subject matter of the intellectual property, and whether new intellectual property is derived from or reliant on one of the parties’ background rights. From time to time we may enter into discussions or, in some cases, formal contractual disputes with our counterparties regarding the proper allocation of such rights. If our interpretation of the agreements, the relevant policies and/or the operative facts, under United States law and, where applicable, under non-United States law, were deemed incorrect or to otherwise vest ownership of intellectual property rights in a third party, the relevant intellectual property that is the subject of the dispute could be re-allocated to such third party, converted to a joint ownership structure, or otherwise reduced in value to our business. In such cases, our ability to successfully enforce our intellectual property portfolio, or even to commercialize our portfolio without having to share revenue, could be negatively impacted.</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in the past have had, and may in the future have, third parties assert claims to intellectual property that was developed by such employees, contractors or consultants. We may also be subject to claims that collaborators or other third parties have an interest in our patents or other intellectual property as an owner, a joint owner, a licensee, an inventor, or a co-inventor. In the latter two cases, the failure to name the proper inventor or co-inventors on a patent application could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services, or technologies, which could result in a significant expenditure and otherwise harm our business.</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may become subject to intellectual property disputes. 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 For example, there may be issued patents of which we are unaware, held by third parties that, if found to be valid and enforceable, could be alleged to be infringed by our current or future products, services or technologies. There also may be pending patent applications of which we are not aware that may result in issued patents, which could be alleged to be infringed by our current or future products, services or technologies.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Lawsuits can be time-consuming and expensive to resolve, and they divert management’s time and attention. Numerous patents and pending patent applications owned by others exist in the fields in which we have developed and are developing our technology. 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any third-party claims against their use. In addition, many companies have the capability to dedicate substantially greater resources to enforce their intellectual property rights and to defend claims that may be brought against them. In a patent infringement claim against us, we may assert, as a defense, that we do not infringe the relevant patent claims, that the patent is invalid or both. The strength of our defenses will depend on the patents asserted, the interpretation of these patents, our ability to argue non-infringement of these patents, and our ability to invalidate these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Our patent portfolio may not be large enough to deter patent infringement claims, and our competitors and others may now and in the future have significantly larger and more mature patent portfolios. Any litigation may also involve patent holding companies or other adverse patent owners that have no relevant product-, service- or technology-based revenue, and therefore, our patent portfolio may provide little or no deterrence as we would not be able to assert our patents against such entities or individuals. If a third party is able to obtain an injunction preventing us from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insurance may not cover potential claims of this type or may not be adequate to indemnify us for all liability that may be imposed. We cannot predict the outcome of lawsuits and cannot ensure that the results of any such actions will not have a material adverse effect on our business, financial condition and results of operations. Any intellectual property litigation to which we might become a party, or for which we are required to provide indemnification, regardless of the merit of the claim or our defenses, may require us to do one or more of the following:</w:t>
      </w:r>
    </w:p>
    <w:p>
      <w:pPr>
        <w:spacing w:after="0" w:line="180"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making, selling, offering for sale, using or importing products, services and technologies that incorporate the intellectual property rights that allegedly infringe, misappropriate or violate the intellectual property of a third party;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make, sell, offer for sale, use or import the relevant products, services and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solutions to avoid infringement, misappropriation or violation, which could be costly, time-consuming or impossible;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organizations using our relevant products, services and technologies or third-party service providers.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Class B Subordinate Voting Shares. 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has been conceived or developed through university and/or government-funded research or development and thus may be subject to the internal intellectual property policies of such universities and/or federal regulations or policies providing for certain rights for the funding government or imposing certain obligations on us, such as a license to the U.S. government covered by or applicable to such intellectual property, “march-in” rights, certain reporting requirements and a preference for domestic companies, and compliance with such regulations or policies (including related contractual obligations) may limit our exclusive rights and our ability to contract with domestic manufacturers, and may impose other restrictions on our business.</w:t>
      </w:r>
    </w:p>
    <w:p>
      <w:pPr>
        <w:spacing w:after="0" w:line="1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Certain intellectual property rights that we may wish to in-license in the future may have been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Patent and Trademark Law Amendment.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various funding or supply agreements with government or public sector entities in Canada (and anticipate entering in one or more future agreements) that impose requirements or restrictions on our intellectual property or our business operations more broadly, such as the following:</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ownership in Canada of, and refraining from assigning or granting an exclusive license to, developed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developed intellectual property without receiving royalties;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developed intellectual property without obtaining the counterparty’s consent;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developed intellectual property and background information to the counterparty, including under certain circumstances to authorize commercial exploitation;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developed intellectual property to the counterparty in certain circumstances;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or exceeding minimum employment levels in Canada;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or exceeding minimum R&amp;D expenditure levels in Canada;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or exceeding minimum annual collaborations with Canadian research institutes or post-secondary institutions in Canada;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or exceeding minimum annual collaborations with small and medium-sized Canadian-based enterprises;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undergoing a change of control only with consent;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refraining from issuing dividends or other shareholder distributions that would prevent the Company from satisfying its obligations under the applicable agreement.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Failure to satisfy these requirements or comply with these restrictions may have a variety of adverse consequences, including one or more of the following: termination of existing agreements, suspension or termination of obligations of further payment, public notice disclosing event of default, financial penalties, repayment of past funding, disqualification for funding opportunities, or a bar on contracting with the Canadian government in the future.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Elements of our products use, or are developed using, open-source software and data, which could negatively affect our ability to offer and sell our solutions and subject us to possible litigation.</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products incorporate, or are developed using, software, data and materials licensed under open-source and other open licenses, and we expect to continue to incorporate, or use for development, software and data licensed under open-source or other open licenses in the future. From time to time, companies that use third-party open-source software or open data have faced claims challenging the use of such open-source software or open data and requesting compliance with the open-source software or other open license terms. Accordingly, we may be subject to suits by parties claiming ownership of what we believe to be open-source software or open data, or claiming non-compliance with the applicable open-source or other open licensing terms. Some open-source software licenses require users who use, distribute or make available across a network software and services that include open-source software to offer aspects of the technology that incorporates the open-source software or open data for no cost. We may also be required to make publicly available source code (which in some circumstances could include valuable proprietary code) for modifications or derivative works we create based upon incorporating or using the open-source software or open data and/or to license such modifications or derivative works under the terms of the particular open-source or other open license. While we try to mitigate the likelihood of such risks, we may inadvertently use third-party open-source software or open data in a manner that exposes us to claims of non-compliance with the terms of their licenses, including claims of intellectual property rights infringement or for breach of contract. Furthermore, there exists today an increasing number of types of open-source software or other open licenses, almost none of which have been tested in courts of law to provide guidance of their proper legal interpretations. If we were to receive a claim of non-compliance with the terms of any of these open-source licenses, we could be required to publicly release certain portions of our proprietary source code or datasets. We could also be required to expend substantial time and resources to re-engineer some of our solutions. Any of the foregoing could disrupt and harm our business.</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have regularly contributed source code under open-source licenses. Because the source code and data we contribute to open source projects or distribute under open source or source-available licenses is publicly available, our ability to protect our intellectual property rights with respect to such source code and data may be limited or lost entirely, and we may be limited in our ability to prevent our competitors or others from using such contributed source code. While we take steps to mitigate the risk that employees or contractors may submit proprietary source code that is not intended to be open-sourced to open-source projects, we cannot guarantee that such practices will be effective. In addition, the use of third-party open-source software or open data typically exposes us to greater risks than the use of third-party commercial software or data because open-source and open data licensors generally do not provide warranties or controls on the functionality or origin of the software or data. Use of open-source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that are similar to or better than ours.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 material adverse effect on our business, prospects, financial condition and operating results.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fraud, abuse, data privacy and security laws, other similar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disasters, global pandemics, and interruptions by man-made problems, such as terrorism. Material disruptions of our business or information systems resulting from these events could materially and adversely affect our business, financial condition and results of operations.</w:t>
      </w:r>
    </w:p>
    <w:p>
      <w:pPr>
        <w:spacing w:after="0" w:line="175"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A significant natural disaster, such as an earthquake, fire, flood, hurricane or significant power outage or other similar events, such as infectious disease outbreaks or pandemic events (such as the outbreak of the COVID-19 pandemic), could materially and adversely affect our business, financial condition and results of operations. In addition, natural disasters, acts of terrorism or war, including the ongoing geopolitical tensions related to Russia’s actions in Ukraine and the conflicts in the Middle East, could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could adversely affect our business. To the extent that any such disruptions result in development or commercialization delays or impede our partners’ and suppliers’ ability to timely deliver product components, or the deployment of our products, this could materially and adversely affect our business, financial condition and results of operations.</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also not have adequate back-up systems, and natural or man-made disasters could damage our operations, reduce our revenue and lead to a loss of customers. We do not have redundant photonic systems for service at an alternate site. A disaster could severely harm our business because our research activities and services could be interrupted for an indeterminate length of time. Our operations depend upon our ability to maintain and protect our computer systems at our facility in Toronto, Ontario, Canada. Although these systems are designed to be resilient and durable, they are vulnerable to damage from fire, floods, snowstorms, earthquakes, power loss, acts of terrorism, telecommunications failures and similar events. In addition, our facilities in Toronto, Ontario, Canada could be subject to electrical blackouts if Ontario faces any power shortages. Although we do have a backup generator that would maintain critical operations, this generator could fail. Disruptions in our internal business operations could harm our business by resulting in delays, disruption of our customers’ business, loss of data, and loss of customer confidence.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monitor and respond to the rapid and ongoing developments and expectations relating to environmental, social and governance (“ESG”) matters, including related social expectations and concerns, have imposed (and may continue to impose) unexpected costs and/or may result in reputational or other harm that could have a material adverse effect on our business, financial condition and results of operations and could cause the market value of our Class B Subordinate Voting Shares to decline.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rapid and ongoing developments and changing expectations relating to ESG matters and factors such as the impact of our operations on climate change, water and waste management, our practices relating to sustainability and product stewardship, product safety, access to health care and affordable drugs, management of business ethics and human capital development, which may result in increased regulatory, social or other scrutiny on us. This scrutiny may be intensified as a result of the varying pro-ESG and anti-ESG views held by certain stakeholders. If we are unable to adequately recognize and respond to such developments and governmental, societal, investor and consumer expectations relating to such ESG matters, we may miss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market value of our Class B Subordinate Voting Shares may decline.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various indemnity agreements and indemnity arrangements in place, which may result in an obligation to indemnify or reimburse the relevant counterparty, which amounts may be material.</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customary indemnification agreements with our directors and certain of our officers. We have also obtained directors’ and officers’ liability insurance to mitigate the cost of any potential future lawsuits or actions. The maximum amount of any potential future payment cannot be reasonably estimated but could have a material adverse effect on the Company.</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have entered or may enter into agreements that include indemnities in favor of third parties, such as purchase and sale agreements, license agreements, engagement letters with advisors and consultants and various product and service agreements. These indemnification arrangements may require us to compensate counterparties for losses incurred by the counterparties as a result of breaches in representations, covenants and warranties provided by us or as a result of litigation or other third-party claims or statutory sanctions that may be suffered by the counterparties as a consequence of the relevant transaction. In some instances, the terms of these indemnities are not explicitly defined. We, whenever possible, try to limit this potential liability within the particular agreement or contract (such as through maximum claim amounts, specified claim periods and other conditions and limits), but due to the unpredictability of future events the maximum amount of any potential reimbursement cannot be reasonably estimated, but could have a material adverse effect on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Ownership of our Shares and Our Operating as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Class B Subordinate Voting Shares may not develop, which would adversely affect the liquidity and price of our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price of our Class B Subordinate Voting Shares may fluctuate significantly due to general market and economic conditions and forecasts, our general business condition and the release of our financial reports. An active trading market for our Class B Subordinate Voting Shares may never develop or, if developed, it may not be sustained. You may be unable to sell your securities unless a market can be established and sustained.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B Subordinate Voting Shares may be volatile, which could cause the value of your investment to decline.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 purchase our Class B Subordinate Voting Shares, you may not be able to resell those shares at or above the price you paid. The market price of our Class B Subordinate Voting Shares may be highly volatile and may fluctuate or decline significantly in response to numerous factors, some of which are beyond our control. The securities markets have experienced and continue to experience significant volatility. Market volatility, as well as general economic, market or political conditions, could reduce the market price of our Class B Subordinate Voting Shares regardless of our operating performance. Our operating results could be below the expectations of public market analysts and investors due to a number of potential factors, including:</w:t>
      </w:r>
    </w:p>
    <w:p>
      <w:pPr>
        <w:spacing w:after="0" w:line="18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quarterly operating results or dividends, if any, to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quantum computing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Xanadu or other companies in our industry, which may include short seller reports;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 investigations;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of laws or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incurred or securities issued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significant contracts, acquisitions, dispositions,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bank failures, public health crises or geopolitical events such as tensions in and around Taiwan, Ukraine, the Middle East and other areas of the world;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of the foregoing on our management, employees, partners, customers, and operating results.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stock markets in general have experienced extreme volatility, which has sometimes been unrelated to the operating performance of the issuer. The trading price of our Class B Subordinate Voting Shares may be adversely affected by third parties trying to drive down or drive up the market price. Short sellers and others, some of whom post anonymously on social media, may be positioned to profit if our shares declines or otherwise exhibits volatility, and their activities can negatively affect our share price and increase the volatility of our share price. These broad market and industry factors may seriously harm the market price of our Class B Subordinate Voting Shares, regardless of our operating performance.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Following periods of volatility in the overall market and the market price of a company’s securities, securities class action litigation has often been instituted against such company. Such litigation could result in substantial costs and a diversion of management’s attention and resources. See also the section titled </w:t>
      </w:r>
      <w:r>
        <w:rPr>
          <w:rFonts w:ascii="Times New Roman" w:cs="Times New Roman" w:eastAsia="Times New Roman" w:hAnsi="Times New Roman"/>
          <w:sz w:val="18"/>
          <w:szCs w:val="18"/>
          <w:i w:val="1"/>
          <w:iCs w:val="1"/>
          <w:color w:val="auto"/>
        </w:rPr>
        <w:t>“— Risks Related to Compliance with Law, Government Regulation and Litigation — Our business is exposed to risks associated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litigation, investigations and regulatory proceedings.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the guidance provided to the public, if so provided, or the expectations of investment analysts, the market price of our Class B Subordinate Voting Shares may decline.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future, we may, but will not be obligated to, provide public guidance on our expected operating and financial results for future periods. Any such guidance will consist of forward-looking statements under U.S. securities laws and forward-looking information under Canadian securities laws, subject to the risks and uncertainties and assumptions made by management described in this filing and any filing announcing the applicable guidance. Our actual results may not always be in line with or exceed any guidance it may provide, especially in times of economic uncertainty. Further, lengthy sales cycle may contribute to substantial fluctuations in our quarterly or annual operating results as significant sales can be delayed to subsequent periods. If, in the future, our operating or financial results for a particular period do not meet any guidance provided or the expectations of investment analysts, or if we reduce our guidance for future periods or withdraw our guidance, the market price of our Class B Subordinate Voting Shares may decline as well. There can be no assurance that we will continue to issue public guidance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 to quarter.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revenue and operating results to vary from quarter to quarter.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customers are newly acquired. Additionally, payments due to us from our customers may be delayed for a variety of reasons, and these delays could cause significant fluctuations from quarter to quarter.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 factors that may cause our financial results to fluctuate from quarter to quarter include those addressed elsewhere in this “Risk Factors” section and the following factors, among others:</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customer contracts that affect the timing of revenue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costs for hourly and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of our products, especially in new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scope of our revenue arrangements with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relating to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 and competitive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strategic relationships or existing contracts with any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customer sales cycle, leading to difficulty in forecasting the timing of purchasing decisions;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to new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commodity prices.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Class B Subordinate Voting Shares may cause the market price of our securities to drop significantly, even if our business is doing well.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Class B Subordinate Voting Shares in the public market could occur. If our Shareholders sell, or the market perceives that our Shareholders intend to sell, substantial amounts of Class B Subordinate Voting Shares in the public market, the market price of our Class B Subordinate Voting Shares could decline significantly. Certain of our Shareholders are subject to lock-up arrangements that restrict trading for a period of time after completion of the Business Combination.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restrictions on resale end, the sale or possibility of sale of these shares could have the effect of increasing the volatility in our share price or the market price of our Class B Subordinate Voting Shares could decline if the holders of currently restricted shares sell them or are perceived by the market as intending to sell them.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the Investor and Registration Rights Agreement obligates us to file one or more registration statements with the SEC for the registration for resale of certain securities held by the shareholders who are party to that agreement. If any of these additional Class B Subordinate Voting Shares are sold, or if it is perceived that they will be sold, in the public market, the market price of our Class B Subordinate Voting Shares could decline.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certain holders of options will have an immediate income inclusion for tax purposes when they exercise their options (that is, tax is not deferred until they sell the underlying Class B Subordinate Voting Shares). As a result, these holders may need to sell Class B Subordinate Voting Shares purchased on the exercise of options in the same year that they exercise their options. This might result in a greater number of Class B Subordinate Voting Shares being sold in the public market and reduce long-term holdings of Class B Subordinate Voting Shares by our management and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debt securities and equity or equity-linked securities may adversely affect the market price of our Class B Subordinate Voting Shares and may be dilutive to existing shareholders.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future, we may incur debt or issue equity ranking senior to the Shares.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Shares.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Class B Subordinate Voting Shares and be dilutive to existing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or TSX could result in a delisting of our securities.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or TSX (such as Nasdaq’s’ requirements with respect to corporate governance or the minimum closing bid price), such exchanges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minimum bid price requirements or prevent future non-compliance with Nasdaq’s or TSX’s listing requirements. Additionally, if our securities are not listed on, or become delisted from Nasdaq or TSX for any reason, and are quoted on the OTC Bulletin Board, an inter-dealer automated quotation system for equity securities that is not a national securities exchange, the liquidity and price of our securities may be more limited than if we were quoted or listed on Nasdaq or TSX or another national securities exchange or marketplace. You may be unable to sell your securities unless a market can be established or sustained.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Short sellers may engage in manipulative activity intended to drive down the market price of our Class B Subordinate Voting Shares, which could also result in related regulatory and governmental scrutiny, among other effects.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B Subordinate Voting Shares for the price to decline. At any time, short sellers may publish, or arrange for the publication of, opinions or characterizations that are intended to create negative market momentum. Issuers, like us, whose securities have historically had limited trading history or volumes and/or have been susceptible to relatively high volatility levels can be vulnerable to such short seller attacks. Short selling reports can cause increased volatility in an issuer’s share price, and result in regulatory and governmental inquiries. A short seller report about Xanadu could result in an inquiry or formal investigation from a governmental organization securities regulatory authority or other regulatory body, which could result in a material diversion of our management’s time and could have a material adverse effect on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obligations under the Sarbanes-Oxley Act may make it more difficult for us to operate our business, and require substantial financial and management resources.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fact that we were a Canadian private company that completed a merger transaction with a U.S. SPAC makes compliance with the requirements of the Sarbanes-Oxley Act particularly burdensome on us as compared to other public companies because Xanadu was not previously subject to Section 404 of the Sarbanes-Oxley Act. The standards required for a public company under Section 404 of the Sarbanes-Oxley Act and applicable Canadian securities law are significantly more stringent than those required of Xanadu as a privately held company. Management may not be able to effectively and timely implement controls and procedures that adequately respond to the increased regulatory compliance and reporting requirements that are applicable to us as a public company. If we are not able to implement the requirements of Section 404 of the Sarbanes-Oxley Act and applicable Canadian securities law, including any additional requirements once we are no longer an emerging growth company, to the extent applicable, in a timely manner or with adequate compliance, we may not be able to assess whether our internal controls over financial reporting are effective, which may subject us to adverse regulatory consequences and could harm investor confidence and the market price of our Class B Subordinate Voting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Xanadu’s business or publish negative reports about our business, the share price and trading volume of our Class B Subordinate Voting Shares could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B Subordinate Voting Shares will depend on the research and reports that securities or industry analysts publish about us and our business. We do not have any analyst coverage and may not obtain analyst coverage in the future. In the event we obtain analyst coverage, it will not have any control over such analysts. The market price of our Class B Subordinate Voting Shares could decline if our actual results do not match the analysts’ projections. If one or more of the analysts who cover us downgrades our shares or changes their opinion of us, the price of our Class B Subordinate Voting Shares would likely decline. If one or more of these analysts cease coverage of us or fail to regularly publish reports on us, we could lose visibility in the financial markets, which could cause the price of our Class B Subordinate Voting Shares or trading volume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Xanadu has never declared or paid cash dividends on its share capital, and it does not anticipate paying any cash dividends or making any distributions to shareholders in the foreseeable future. We currently intend to retain our future earnings, if any, to finance the further development and expansion of our business and do not intend to pay cash dividends or make distributions in the foreseeable future. Any future determination to pay dividends or make distributions will be made at the discretion of our Board, subject to applicable laws. It will depend on a number of factors, including our financial condition, results of operations, capital requirements, contractual, legal, tax and regulatory restrictions, general business conditions and other factors that our Board may deem relevant. In addition, the ability to pay cash dividends or make distributions may be restricted by the terms of debt financing arrangements, as any future debt financing arrangement likely will contain terms restricting or limiting the amount of dividends that may be declared or paid on our Shares or the making of distributions to holders of our Shares. As a result, shareholders may not receive any return on an investment in our Shares unless they sell their shares for a price greater than what they paid for them.</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of 1933, as amended (the “Securities Act”), and to the extent we take advantage of certain exemptions from disclosure requirements available to emerging growth companies and permitted under applicable Canadian securities laws, this could make our Class B Subordinate Voting Shares less attractive to investors and may make it more difficult to compare our performance with other public companies.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to the extent permitted under applicable Canadian securities laws,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Shareholders may not have access to certain information they may deem important.</w:t>
      </w:r>
    </w:p>
    <w:p>
      <w:pPr>
        <w:spacing w:after="0" w:line="187"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We cannot predict whether investors will find our Shares less attractive because we will rely on these exemptions. If some investors find our Shares less attractive as a result of our reliance on these exemptions, the trading prices of our Class B Subordinate Voting Shares may be lower than they otherwise would be, there may be a less active trading market for our securities and the trading prices of our Class B Subordinate Voting Shares may be more volatile.</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(defined below))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Moreover, even if we no longer qualify as an emerging growth company, as long as we continue to qualify as a foreign private issuer under the Exchange Act, we will be exempt from certain provisions of the Exchange Act that are applicable to U.S. domestic public companies.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under the rules and regulations of the SEC, we are permitted to, and intend to, file less or different information with the SEC than a company incorporated in the United States or otherwise not filing as a “foreign private issuer,” and is permitted, and intends to, follow certain home country corporate governance practices in lieu of certain Nasdaq requirements applicable to U.S. issuers.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under the Exchange Act and therefore will be exempt from certain rules under the Exchange Act, including the proxy rules, which impose certain disclosure and procedural requirements for proxy solicitations for U.S. and other issuers. Moreover, we will not be required to file periodic reports and financial statements with the SEC as frequently or within the same timeframes as U.S. companies with securities registered under the Exchange Act, and will provide such reports and financial statements within the timeframes required by Canadian securities law. We will not be required to comply with Regulation Fair Disclosure, which imposes restrictions on the selective disclosure of material information; however, we will be required to comply with Canadian securities laws and TSX requirements governing the disclosure of material facts and material changes. Historically, Rule 3a12-3 under the Exchange Act exempted securities registered by a “foreign private issuer” from Section 16 of the Exchange Act. However, effective March 18, 2026, pursuant to the Holding Foreign Insiders Accountable Act, directors and officers of foreign private issuers are required to comply with the reporting requirements of Section 16(a) of the Exchange Act. Notwithstanding the foregoing, directors and officers of a “foreign private issuer” remain exempt from Section 16(b) (short-swing profit liability) and Section 16(c) (short sale prohibitions). Additionally, our reporting insiders will be required to comply with Canadian securities law insider reporting requirements. Accordingly, Shareholders may receive less or different information about us than they would receive about a U.S. domestic public company.</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as a “foreign private issuer” whose shares are listed on Nasdaq, we are permitted, subject to certain exceptions, to follow certain home country rules in lieu of certain Nasdaq listing requirements. A foreign private issuer must disclose in its annual reports filed with the SEC each Nasdaq requirement with which it does not comply, followed by a description of its applicable home country practice. We will have the option to rely on available exemptions under the Nasdaq and TSX listing rules that would allow it to follow its home country practice, including, among other things, the ability to opt out of (i) the requirement that the Board be comprised of a majority independent directors, (ii) the requirement that our independent directors meet regularly in executive sessions and (iii) the requirement that we obtain shareholder approval prior to the issuance of securities in connection with certain acquisitions, private placements of securities, or the establishment or amendment of certain share option, purchase or other compensation plans. We are required to comply with TSX rules which require, among other things, that (i) the Board be comprised of at least two independent directors, and (ii) we obtain shareholder approval prior to the issuance of securities in connection with certain acquisitions, private placements of securities, or the establishment or amendment of certain share option, purchase or other compensation plans.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ownership is highly concentrated which reduces the public “float” and may have a depressive effect on the market price of our Class B Subordinate Voting Shares.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share ownership is highly concentrated. Following completion of the Business Combination, our public “float” is reduced. Additionally, many of our Class B Subordinate Voting Shares are subject to restrictions on trading (pursuant to contractual lockups and applicable securities laws). This may have a depressive and volatile effect on the market price of our Class B Subordinate Voting Shares.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issue additional Shares in the future, which would increase the number of shares eligible for future resale in the public market and result in dilution to our Shareholders.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Given our additional capital needs, we will issue additional Shares or other equity securities of equal or senior rank in the future in connection with, among other things, capital-raising initiatives, future investments and acquisitions, or repayment of outstanding indebtedness, in most cases without shareholder approval.</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pursuant to our equity incentive plan, we expect to issue additional Shares, or securities exercisable for Shares. Once shares are issued pursuant to our equity incentive plan, those shares will become eligible for sale in the public market, subject to any applicable vesting requirements, lockup agreements and other restrictions imposed by law. Shares representing 15% of our Shares issued and outstanding from time to time are expected to be reserved for future issuance under our equity incentive plan. We expect to file one or more registration statements on Form S-8 under the Securities Act to register the Shares or securities convertible into or exchangeable for our Shares pursuant to our equity incentive plan. Any such Form S-8 registration statements will automatically become effective upon filing. Accordingly, shares registered under such registration statements will be available for sale in the open market.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issuance of additional shares or other equity securities of equal or senior rank would have the following effects:</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shareholders’ proportionate ownership interest will decrease;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eligible for resale in the public market will increase;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any dividends in the future, may decrease;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share of previously outstanding Shares may be diminished;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B Subordinate Voting Shares may decline.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increased costs as a result of operating as a public company, which may adversely affect our business, prospects,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Old Xanadu did not incur as a private company. Applicable Canadian securities laws,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Compliance with public company requirements will increase costs and make certain activities more time-consuming. A number of those requirements will require us to undertake activities it has not done previously. For example, we have created a new board committees and adopted new internal controls and disclosure controls and procedures. In addition, expenses associated with Canadian securities law and SEC reporting requirements have been and will continue to be incurred. Furthermore, if any issues in complying with those requirements are identified (for example, if the auditors identify a material weakness or significant deficiency in the internal control over financial reporting), we may incur additional costs to rectify those issues, and the existence of those issues may adversely affect our reputation or investor perceptions of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Risks associated with our status as a public company may make it more difficult to attract and retain qualified persons to serve on our board of directors or as executive officers. For example, the rules and regulations governing public companies will likely make it more difficult and more expensive for us to obtain director and officer liability insurance, and it may be required to accept reduced policy limits and coverage or incur substantially higher costs to obtain the same or similar coverage. As a result, it may be difficult for us to attract and retain qualified people to serve on our board of directors, board committees or as executive officers.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additional reporting and other obligations imposed by these rules and regulations increase legal and financial compliance costs and the costs of related legal, accounting and administrative activities. To the extent necessary to supplement our internal personnel with professional advisors, such costs may be significantly increased. These increased costs will require us to divert a significant amount of money that may otherwise be used to expand Xanadu’s business and achieve strategic objectives. Advocacy efforts by shareholders and third parties may also prompt additional changes in governance and reporting requirements, resulting in further increased costs.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some of our executive officers have limited or no experience in the management of a publicly traded company. As a public company, we are subject to significant regulatory oversight and reporting obligations under federal securities laws, and certain executives’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Additionally, we may not have adequate personnel with the appropriate level of knowledge, experience and training in the accounting policies, practices or internal controls over financial reporting required of public companies in the United States and Canada.</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specific courts in Canada and the federal district courts of the United States as the exclusive forum for certain litigation that may be initiated by our Shareholders, which could limit Shareholders’ ability to obtain a favorable judicial forum for disputes with us.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by-laws, unless we consent in writing to the selection of an alternative forum, the courts of the Province of Ontario and the appellate courts therefrom shall, to the fullest extent permitted by law, be the sole and exclusive forum for: (i) any derivative action or proceeding brought on our behalf; (ii) any action or proceeding asserting a claim of breach of fiduciary duty owed by any director, officer or other employee of Xanadu to us; (iii) any action or proceeding asserting a claim arising out of any provision of the OBCA or our articles or by-laws (as either may be amended from time to time); or</w:t>
      </w:r>
    </w:p>
    <w:p>
      <w:pPr>
        <w:spacing w:after="0" w:line="3" w:lineRule="exact"/>
        <w:rPr>
          <w:sz w:val="20"/>
          <w:szCs w:val="20"/>
          <w:color w:val="auto"/>
        </w:rPr>
      </w:pPr>
    </w:p>
    <w:p>
      <w:pPr>
        <w:jc w:val="both"/>
        <w:ind w:firstLine="8"/>
        <w:spacing w:after="0" w:line="253"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or otherwise related to our affairs. Additionally, our by-laws further provide that unless we consent in writing to the selection of an alternative forum, and without limiting the generality of the foregoing sentence, the federal district courts of the United States of America shall be the sole and the exclusive forum for resolving any complaint filed in the United States asserting a cause of action arising under the Securities Act or the Exchange Act. In addition, our by-laws provide that any person or entity purchasing or otherwise acquiring any interest in our Shares is deemed to have notice of and consented to the by-laws forum selection provision.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by-laws forum selection provisions may impose additional litigation costs on shareholders in pursuing any such claims. Additionally, the forum selection clauses may limit Shareholders’ ability to bring a claim in a judicial forum that they find favorable for disputes with us or our directors, officers or employees, which may discourage the filing of lawsuits against us and out directors, officers and employees, even though an action, if successful, might benefit Shareholders. In the event a court finds either exclusive forum provision contained in our by-laws to be unenforceable or inapplicable in an action, we may incur additional costs associated with resolving such action in other jurisdictions, which could harm our business, operating results and financial condition. The courts of the Province of Ontario and appellate courts therefrom and the federal district courts of the United States may also reach different judgments or results than would other courts, including courts where a shareholder considering an action may be located or would otherwise choose to bring the action, and such judgments may be more or less favorable to us than Shareholders.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civil liabilities in Canada under U.S. securities laws.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Xanadu is incorporated in the Province of Ontario, Canada, and our corporate headquarters are located in Toronto, Ontario, Canada. A majority of our executive officers and certain of our directors and the experts named herein reside principally in Canada and the majority of our assets and all or a substantial portion of the assets of these persons is located outside the United States. It may be difficult for investors who reside in the United States to effect service of process upon these persons in the United States, or to enforce a U.S. court judgment predicated upon the civil liability provisions of the U.S. federal securities laws against us or any of these persons. There is substantial doubt whether an action could be brought in Canada in the first instance predicated solely upon U.S. federal securities laws.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and by-laws, and Ontario and Canadian laws and regulations applicable to us may adversely affect our ability to take actions that could be deemed beneficial to Shareholders.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an Ontario company, we are subject to different corporate requirements than a corporation organized under the laws of the United States. Our articles and by-laws as well as the OBCA, set forth various rights and obligations that are unique to us as a Canadian company. These requirements may limit or otherwise adversely affect our ability to take actions that could be beneficial to Shareholders.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Provisions of the laws of the Province of Ontario and the federal laws of Canada may also have the effect of delaying or preventing a change of control or changes in our management. For example, the OBCA includes provisions that require any shareholder proposal that includes nominations for the election of directors to be signed by one or more holders of shares representing in the aggregate not less than 5% of the shares or 5% of the shares of a class of shares of the corporation entitled to vote at the meeting to which the proposal is to be presented. Additionally, for material corporate transactions (such as mergers and amalgamations, other extraordinary corporate transactions or amendments to our articles) the OBCA generally requires approval by 66 2/3% of the votes cast by shareholders who voted, or as set out in the articles, as applicable.</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requires that a non-Canadian must file an application for review with the Minister responsible for the </w:t>
      </w:r>
      <w:r>
        <w:rPr>
          <w:rFonts w:ascii="Times New Roman" w:cs="Times New Roman" w:eastAsia="Times New Roman" w:hAnsi="Times New Roman"/>
          <w:sz w:val="18"/>
          <w:szCs w:val="18"/>
          <w:i w:val="1"/>
          <w:iCs w:val="1"/>
          <w:color w:val="auto"/>
        </w:rPr>
        <w:t>Investment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and obtain approval of the Minister prior to acquiring control of a “Canadian business” within the meaning of the</w:t>
      </w:r>
      <w:r>
        <w:rPr>
          <w:rFonts w:ascii="Times New Roman" w:cs="Times New Roman" w:eastAsia="Times New Roman" w:hAnsi="Times New Roman"/>
          <w:sz w:val="18"/>
          <w:szCs w:val="18"/>
          <w:i w:val="1"/>
          <w:iCs w:val="1"/>
          <w:color w:val="auto"/>
        </w:rPr>
        <w:t xml:space="preserve"> Investment Canada Act</w:t>
      </w:r>
      <w:r>
        <w:rPr>
          <w:rFonts w:ascii="Times New Roman" w:cs="Times New Roman" w:eastAsia="Times New Roman" w:hAnsi="Times New Roman"/>
          <w:sz w:val="18"/>
          <w:szCs w:val="18"/>
          <w:color w:val="auto"/>
        </w:rPr>
        <w:t>,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prescribed financial thresholds are exceeded. As a “Canadian business,” an acquisition of control of Xanadu by a non-Canadian would be subject to a suspensory review if these thresholds are exceeded. Furthermore, limitations on the ability to acquire and hold our Shares may be imposed by the </w:t>
      </w:r>
      <w:r>
        <w:rPr>
          <w:rFonts w:ascii="Times New Roman" w:cs="Times New Roman" w:eastAsia="Times New Roman" w:hAnsi="Times New Roman"/>
          <w:sz w:val="18"/>
          <w:szCs w:val="18"/>
          <w:i w:val="1"/>
          <w:iCs w:val="1"/>
          <w:color w:val="auto"/>
        </w:rPr>
        <w:t xml:space="preserve">Competition Act </w:t>
      </w:r>
      <w:r>
        <w:rPr>
          <w:rFonts w:ascii="Times New Roman" w:cs="Times New Roman" w:eastAsia="Times New Roman" w:hAnsi="Times New Roman"/>
          <w:sz w:val="18"/>
          <w:szCs w:val="18"/>
          <w:color w:val="auto"/>
        </w:rPr>
        <w:t>(Canada). This legislation permits the Commissioner of Competition appointed under the</w:t>
      </w:r>
      <w:r>
        <w:rPr>
          <w:rFonts w:ascii="Times New Roman" w:cs="Times New Roman" w:eastAsia="Times New Roman" w:hAnsi="Times New Roman"/>
          <w:sz w:val="18"/>
          <w:szCs w:val="18"/>
          <w:i w:val="1"/>
          <w:iCs w:val="1"/>
          <w:color w:val="auto"/>
        </w:rPr>
        <w:t xml:space="preserve"> Competition Act </w:t>
      </w:r>
      <w:r>
        <w:rPr>
          <w:rFonts w:ascii="Times New Roman" w:cs="Times New Roman" w:eastAsia="Times New Roman" w:hAnsi="Times New Roman"/>
          <w:sz w:val="18"/>
          <w:szCs w:val="18"/>
          <w:color w:val="auto"/>
        </w:rPr>
        <w:t>to review any acquisition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establishment, directly or indirectly, including through the acquisition of shares, of control over or of a significant interest in us.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our articles, we are permitted to issue an unlimited number of Class B Subordinate Voting Shares without additional shareholder approval, which would result in immediate dilution to existing Shareholders and may have an adverse effect on the value of their shareholdings.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articles permit us to issue an unlimited number of Class B Subordinate Voting Shares, Class A Multiple Voting Shares and Preferred Shares. We may, from time to time, issue additional Class B Subordinate Voting Shares, Class A Multiple Voting Shares and Preferred Shares in the future. Subject to the requirements of the Nasdaq and the TSX, we will not be required to obtain the approval of shareholders for future issuances of Class B Subordinate Voting Shares, Class A Multiple Voting Shares or Preferred Shares. Any further issuances of Class B Subordinate Voting Shares, Class A Multiple Voting Shares or Preferred Shares which may be convertible into Shares will result in immediate dilution to existing shareholders and may have a material adverse effect on the value of their shareholdings.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characterized as a passive foreign investment company for U.S. federal income tax purposes, U.S. Holders may suffer adverse tax consequences.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or become a “passive foreign investment company” (“PFIC”), within the meaning of Section 1297 of the Code for any taxable year (or portion thereof) during which a U.S. Holder (as defined in “Material U.S. Federal Income Tax Considerations for U.S. Holders”) holds our Shares, certain adverse U.S. federal income tax consequences may apply to such U.S. Holder and such U.S. Holder might be subject to additional reporting requirements.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U.S. federal income tax purposes, we will be a PFIC for any taxable year in which (i) 75% or more of our gross income consists of passive income or (ii) 50% or more of the value of our assets (determined on the basis of a weighted quarterly average) consists of assets that produce, or are held for the production of, passive income (including cash). For purposes of these tests, passive income includes dividends, interest, gains from the sale or exchange of investment property and certain rents and royalties. For purposes of the above calculations, a non-U.S. corporation that directly or indirectly owns at least 25% by value of the shares of another corporation is treated as holding and receiving directly its proportionate share of assets and income of such corporation.</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an analysis of our income and assets, including the value of our goodwill, we do not believe that we were a PFIC for the taxable year ended December 31, 2025. There can be no assurances that we will not be treated as a PFIC for any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ordinary shares from time to time, which may fluctuate considerably. Under the income test, our status as a PFIC depends on the composition of our income which will depend on a variety of factors that are subject to uncertainty, including the characterization of transactions we enter into in the future and our corporate structure.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any prior, current or future taxable year.</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were classified as a PFIC for any taxable year during which a U.S. Holder hold our Shares, such U.S. Holder could be subject to adverse U.S. federal income tax consequences (regardless of whether we continue to be a PFIC), including increased tax liability on disposition gains and certain “excess distributions” and additional reporting requirements. For more information, see the section titled “Material U.S. Federal Income Tax Considerations for U.S. Holders—Passive Foreign Investment Company Considerations.” U.S. Holders are urged to consult their tax advisors regarding our PFIC status for any taxable year and the possible application of the PFIC rules to an investment in our Shares, including the availability and the advisability of making certain election under the PFIC rules.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taxation in Canada, the United States, and other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results of operations. In addition, the authorities in several jurisdictions could review our tax returns and impose additional tax, interest and penalties, which could have a material adverse effect on us and our results of operations. We have previously participated in government programs with the Canadian federal government and Canadian provincial governments that provided refundable and non-refundable investment tax credits based upon qualifying research and development expenditures. If Canadian taxation authorities successfully challenge such expenses or the correctness of such income tax credits claimed, our historical operating results could be adversely affected. As a public company, we will no longer be eligible for refundable tax credits under the SR&amp;ED program. However, we are still eligible for non-refundable SR&amp;ED credits under this program, which are eligible to reduce future income taxes payable.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 class share structure will concentrate voting control and the ability to influence corporate matters with holders of Class A Multiple Voting Shares, including directors and officers of Old Xanadu, certain existing Xanadu shareholders and their affiliates.</w:t>
      </w:r>
    </w:p>
    <w:p>
      <w:pPr>
        <w:spacing w:after="0" w:line="15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Class A Multiple Voting Shares have 10 votes per share and Class B Subordinate Voting Shares have one vote per share. Shareholders who hold Class A Multiple Voting Shares, including our executive officers, directors, employees and their affiliates, together hold approximately 98% (with directors and officers together holding approximately 18 %) of the voting power of our outstanding voting shares, and will therefore have significant influence over our management and affairs and over all matters requiring shareholder approval, including the election of directors and significant corporate transactions.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of the ten-to-one voting ratio between Class A Multiple Voting Shares and Class B Subordinate Voting Shares, the holders of our Class A Multiple Voting Shares, collectively, will continue to control a majority of the combined voting power of voting shares, even where Class A Multiple Voting Shares represent a substantially reduced percentage of total outstanding shares. The concentrated voting control of holders of Class A Multiple Voting Shares will limit the ability of holders of Class B Subordinate Voting Shares to influence corporate matters for the foreseeable future, including the election of directors as well as decisions regarding amendments to our share capital, creating and issuing additional classes of shares, making significant acquisitions, selling significant assets or parts of our business, merging with other companies and undertaking other significant transactions. As a result, holders of Class A Multiple Voting Shares, including directors and officers of Xanadu, will have the ability to influence many matters affecting us to a much greater degree than us, and actions may be taken that holders of Class B Subordinate Voting Shares may not view as beneficial. The market price of our Class B Subordinate Voting Shares could be adversely affected due to the significant influence and voting power of the holders of our Class A Multiple Voting Shares. Additionally, the significant voting interest of holders of our Class A Multiple Voting Shares may discourage transactions involving a change of control, including transactions in which an investor, as a holder of our Class B Subordinate Voting Shares, might otherwise receive a premium for our Class B Subordinate Voting Shares over the then-current market price, or discourage competing proposals if a going-private transaction is proposed by one or more holders of our Class A Multiple Voting Shares.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Future transfers by holders of Class A Multiple Voting Shares will generally result in the automatic conversion of such shares into Class B Subordinate Voting Shares, which will have the effect, over time, of increasing the relative voting power of those holders of Class A Multiple Voting Shares who retain their shares. If, for example, our Chief Executive Officer, Christian Weedbrook, who holds approximately 18% of the voting power of outstanding Shares, retains a significant portion of his holdings of Class A Multiple Voting Shares for an extended period of time, he could, in the future, control a significant percentage of the combined voting power of Class B Subordinate Voting Shares and Class A Multiple Voting Shares. In addition, holders of greater than 5% of Shares, as a group, beneficially hold a significant percentage of the voting power of outstanding Shares following the Closing. If these holders retain a significant portion of their holdings of Class A Multiple Voting Shares for an extended period of time, they could, in the future, control a significant percentage of the combined voting power of Class B Subordinate Voting Shares and Class A Multiple Voting Shares. As a result, these holders of greater than 5% of Shares have the ability to influence control over matters submitted to Shareholders for approval. While each of our directors and officers owes a fiduciary duty to Xanadu and must act honestly and in good faith with a view to the best interests of Xanadu, any director and/or officer that is a shareholder, even a controlling shareholder, is entitled to vote his or her shares in his or her own interests, which may not always be in the interests of our shareholders generally.</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structure may render our Class B Subordinate Voting Shares ineligible for inclusion in certain stock market indices, and thus adversely affect the trading price and liquidity of our Class B Subordinate Voting Shares.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whether our dual-class structure will result in a lower or more volatile market price of our Class B Subordinate Voting Shares, in negative publicity or other adverse consequences. Certain index providers have, from time to time, imposed or modified eligibility restrictions on companies with multi-class share structures. From April 2017 to April 2023, the S&amp;P Dow Jones Indices excluded companies with multiple classes of shares from the S&amp;P 500, S&amp;P MidCap 400 and S&amp;P SmallCap 600 (which together comprise the S&amp;P Composite 1500).</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the S&amp;P Dow Jones Indices do not currently prohibit the inclusion of dual-class issuers, index providers and institutional investors may nonetheless view multi-class structures unfavorably, and future policy changes could limit our eligibility for inclusion in major indices. As a result, our dual-class structure may prevent the inclusion of our Class B Subordinate Voting Shares in such indices, and mutual funds, exchange-traded funds and other investment vehicles that attempt to passively track these indices will not be able to invest in Class B Subordinate Voting Shares, each of which could adversely affect the trading price and liquidity of Class B Subordinate Voting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Class B Subordinate Voting Shares could be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Macroeconomic Risks Relating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global macroeconomic and political conditions could materially adversely affect our business prospects, financial condition, results of operations and cash flows.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could be materially affected by economic and political conditions in the United States and internationally, including inflation, deflation, interest rates, availability of capital, energy and commodity prices, trade laws and the effects of governmental initiatives to manage economic conditions. Potential customers may delay or decrease spending as their business and budgets are impacted by economic conditions. The inability of potential customers to pay us for our services may adversely affect our earnings and cash flows.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the ongoing military conflict in Ukraine and the Middle East and the resulting applicable sanctions and related countermeasures by North Atlantic Treaty Organization members, the United States and other countries have led to, and are likely to lead to additional, market disruptions, including significant volatility in commodity prices, credit, and capital markets, as well as supply chain interruptions for equipment, which could have an adverse impact on our operations and financial performance. Global supply chain disruptions have increasingly affected both the availability and cost of materials, component manufacturing and deliveries. Disruptions such as military conflicts, sanctions, and other countermeasures between nations, as well as any escalation in tension between nations, may result in delays in equipment deliveries and cost escalations that could adversely affect our business prospects,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deployment cost estimates are highly sensitive to a range of economic factors, and our ability to control or manage our costs may be limited.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Capital and operating costs for the foreseeable future are difficult to project, inherently variable and are subject to significant change based on a variety of factors including regulatory oversight, operating agreements, supply chain availability, inflation and other factors. Opportunities for cost reductions in quantum cores, logical qubits and other quantum computing technology and related software solutions and applications are similarly uncertain. While we believe our cost estimates are reasonable, they may increase significantly through design maturity, when accounting for supply chain availability or as a result of other factors. To the extent cost reductions in these areas are not achieved within the expected timeframe or magnitude, our products may not be cost competitive with alternative technologies, which may have a material adverse effect on our business prospects, financial condition, results of operations and cash flows and could harm our reputation.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occurrence of newsworthy events in the quantum computing industry as a whole, including, but not limited to, the delay of major projects, inflated cost adjustments, fluctuations in product pricing strategies, cancellations of public offerings, customer withdrawals, or disruptions in the supply chain may adversely affect our business in several ways, including:</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news or events associated with industry peers may lead to decreased investor confidence in the sector, which could impact the broader stock market performance of companies operating within the industry, including Xanadu. This could result in fluctuations or declines in our share price irrespective of our internal performance.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involving our competitors may alter the competitive landscape, affecting market share dynamics, pricing strategies, and overall positioning within the industry. This could impact our ability to retain or expand our market presence.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dynamics influenced by competitors’ actions, such as inflated cost adjustments or potential cancellations, could have ripple effects on our financial stability and profitability, influencing our financial metrics and potentially impacting investor perceptions.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implement risk mitigation strategies and highlight our unique business approach and how it differentiates us from our competitors, there is no guarantee that we will be insulated from the adverse effects of such events and the occurrence of any of these events could negatively impact our business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COMMITTED EQUITY FINANCING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20, 2026, we entered into the Standby Equity Purchase Agreement (the “SEPA”) with YA II PN, Ltd. (“Yorkville”) pursuant to which we have the right to sell to Yorkville up to $300,000,000 of our Class B Subordinate Voting Shares, subject to certain limitations and conditions set forth in the SEPA, from time to time during the term of the SEPA. Sales of Class B Subordinate Voting Shares to Yorkville under the SEPA, and the timing of any such sales, are at our option, and we are under no obligation to sell any securities to Yorkville under the SEPA. In accordance with our obligations under the SEPA, we have filed the registration statement that includes this prospectus with the SEC to register under the Securities Act the resale by Yorkville of up to 30,000,000 Class B Subordinate Voting Shares that we may elect, in our sole discretion, to issue and sell to Yorkville under the SEPA. The Class B Subordinate Voting Shares are listed on the Nasdaq Global Market (“Nasdaq”) and the Toronto Stock Exchange (the “TSX”) under the symbol “XNDU.”</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have the right to commence any sales of our Class B Subordinate Voting Shares to Yorkville under the SEPA until the date on which all of the conditions to Yorkville’s purchase obligation set forth in the SEPA have been satisfied, including that the registration statement of which this prospectus forms a part be declared effective by the SEC and the final form of this prospectus is filed with the SEC. Upon the satisfaction of the conditions to Yorkville’s purchase obligation set forth in the SEPA, including that the registration statement of which this prospectus forms a part be declared effective by the SEC and the final form of this prospectus is filed with the SEC, we will have the right, but not the obligation, from time to time at our discretion during the Commitment Period, to direct Yorkville to subscribe and purchase a specified number of Class B Subordinate Voting Shares (each such sale, an “Advance”) by delivering written notice to Yorkville (each, an “Advance Notice”). There are no mandatory minimum Advances and no non-usage fees for not utilizing the SEPA facility. The number of Class B Subordinate Voting Shares that we may request in any single Advance Notice shall not exceed the Maximum Advance Amount (as defined in the SEPA).</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per share purchase price Yorkville will pay for the Class B Subordinate Voting Shares (the “Purchase Price”) will be 97.50% of the Market Price during the applicable Pricing Period. The “Market Price” is defined in the SEPA as the volume weighted average price (“VWAP”) of the Class B Subordinate Voting Shares on the Principal U.S. Market during the applicable one-day Pricing Period commencing upon Yorkville’s confirmation of receipt of the applicable Advance Notice. “VWAP” means, for any Trading Day or specified period, the volume weighted average price of the Class B Subordinate Voting Shares on the Principal U.S. Market as reported by Bloomberg L.P. through its “AQR” function. Notwithstanding the foregoing, the Purchase Price shall not be less than the TSX Minimum Price (as defined in the SEPA).</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control the timing and amount of any sales of Class B Subordinate Voting Shares to Yorkville. Actual sales of our Class B Subordinate Voting Shares to Yorkville under the SEPA, if any, will depend on a variety of factors to be determined by us from time to time, which may include, among other things, market conditions, the trading price of our Class B Subordinate Voting Shares and determinations by us as to the appropriate sources of funding for our business and its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Yorkville will not be obligated to purchase any Class B Subordinate Voting Shares under the SEPA which, when aggregated with all other Class B Subordinate Voting Shares then beneficially owned by Yorkville and its affiliates (as calculated pursuant to Section 13(d) of the Exchange Act, and Rule 13d-3 promulgated thereunder), would result in the beneficial ownership by Yorkville and its affiliates exceeding 4.99% of the then outstanding voting power or number of Class B Subordinate Voting Shares (the “Ownership Limitation”).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proceeds under the SEPA to us will depend on the number of Class B Subordinate Voting Shares we sell to Yorkville, the timing of such sales, and the prices at which we sell such shares to Yorkville. We expect that any proceeds received by us from such sales to Yorkville will be used for working capital and other general corporate purposes.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Yorkville has agreed that it and its affiliates will not engage in any short sales of the Class B Subordinate Voting Shares nor enter into any transaction that establishes a net short position in the Class B Subordinate Voting Shares during the term of the SEPA, except that Yorkville may sell Class B Subordinate Voting Shares that it is unconditionally obligated to purchase under a pending Advance Notice but has not yet received from us or our transfer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SEPA will automatically terminate on the earlier of (i) 36 months following the effective date of the SEPA or (ii) the date on which Yorkville shall have made payment of Advances pursuant to the SEPA for Class B Subordinate Voting Shares equal to the Commitment Amount of $300,000,000. We have the right to terminate the SEPA effective at any time upon written notice to Yorkville, provided that (i) there are no outstanding Advance Notices for which Class B Subordinate Voting Shares have yet to be issued and paid for, and (ii) we have paid all amounts owed to Yorkville pursuant to the SEPA as of the time of such termination. We and Yorkville may also agree to terminate the SEPA by mutual written consent. No Party may assign or transfer its respective rights and obligations under the SEPA, and no provision of the SEPA may be modified or waived other than by an instrument in writing signed by both parties.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consideration for Yorkville’s commitment to purchase Class B Subordinate Voting Shares at our direction upon the terms and subject to the conditions set forth in the SEPA, we have paid Yorkville a structuring fee in the amount of $25,000 and are obligated to pay a commitment fee equal to 0.45% of the Commitment Amount (the “Commitment Fee”), which is fully earned upon execution of the SEPA. At our option, we elected to pay the Commitment Fee in cash, with 10% of the gross proceeds from each Advance deducted by Yorkville from the total Purchase Price payable to us from each such Advance until the Commitment Fee is paid in full. Any portion of the Commitment Fee that remains unpaid upon the termination of the SEPA, or upon the twelve-month anniversary of the date of the SEPA, shall be immediately paid by us to Yorkville in cash.</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SEPA contains customary representations, warranties, conditions and indemnification obligations of the parties. The representations, warranties and covenants contained in the SEPA were made only for purposes of the SEPA and as of specific dates, were solely for the benefit of the parties thereto and may be subject to limitations agreed upon by the contracting parties.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know what the Purchase Price for our Class B Subordinate Voting Shares will be and therefore cannot be certain as to the number of shares we might issue to Yorkville under the SEPA. As of May 14, 2026, there were 43,284,411 Class B Subordinate Voting Shares outstanding. Although the SEPA provides that we may sell up to $300,000,000 of our Class B Subordinate Voting Shares to Yorkville, only 30,000,000 Class B Subordinate Voting Shares are being registered for resale under the registration statement that includes this prospectus.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and when we elect to issue and sell Class B Subordinate Voting Shares to Yorkville, we will need to register for resale under the Securities Act additional Class B Subordinate Voting Shares in order to receive aggregate gross proceeds equal to the $300,000,000 available to us under the SEPA (representing the full commitment amount before the application of the 2.5% discount to the Market Price at which Yorkville purchases shares), depending on market prices for our Class B Subordinate Voting Shares. If all of the 30,000,000 Class B Subordinate Voting Shares offered by Yorkville for resale under the registration statement that includes this prospectus were issued and outstanding as of the date hereof, such shares would represent approximately 40.9% of the total number of Class B Subordinate Voting Shares outstanding as of May 14, 2026. If we elect to issue and sell more than the 30,000,000 Class B Subordinate Voting Shares offered under this prospectus to Yorkville, we must first register for resale under the Securities Act any such additional shares, which could cause additional dilution to our shareholders. The number of shares ultimately offered for resale by Yorkville is dependent upon the number of Class B Subordinate Voting Shares we may elect to sell to Yorkville under the SEPA.</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are substantial risks to our shareholders as a result of the sale and issuance of Class B Subordinate Voting Shares to Yorkville under the SEPA. These risks include the potential for substantial dilution and significant declines in our share price.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Issuances of our Class B Subordinate Voting Shares in this offering will not affect the rights or privileges of our existing shareholders, except that the economic and voting interests of each of our existing shareholders will be diluted as a result of any such issuance. Although the number of Class B Subordinate Voting Shares that our existing shareholders own will not decrease as a result of sales, if any, under the SEPA, the shares owned by our existing shareholders will represent a smaller percentage of our total outstanding shares after any such issuance to Yorkville.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summary of the SEPA contained in this prospectus is qualified in its entirety by reference to the SEPA, a copy of which is filed as an exhibit to the registration statement that includes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of Class B Subordinate Voting Shares Under the SEPA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the right, but not the obligation, from time to time at our discretion during the Commitment Period, and up to an aggregate amount of $300,000,000, to direct Yorkville to purchase up to a specified number of Class B Subordinate Voting Shares as set forth in the SEPA (each, an “Advance”) by delivering written notice to Yorkville (each, an “Advance Notice”) on any Trading Day (each, an “Advance Notice Date”), subject to the Maximum Advance Amount and the other limitations set forth in the SEPA. There are no mandatory minimum Advances and no non-usage fees for not utilizing the SEPA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Pre-Advance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Advances, on a periodic basis and at the mutual consent of Yorkville and the Company, Yorkville may pre-advance capital against the Commitment Amount pursuant to promissory notes (each, a “Pre-Advance”) in an aggregate amount of up to $100,000,000, on mutually agreeable terms and conditions. To the extent the aggregate Purchase Price to be paid pursuant to the SEPA is netted against such Pre-Advance, the amount owing to Yorkville pursuant to the applicable promissory note(s) shall be reduced by the Purchase Price set forth in the applicable settlement document. At no time will Advance Shares be issued to Yorkville in satisfaction of a pre-advance of capital at a price that is below the TSX Minimum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Each Advance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Yorkville’s obligation to accept Advance Notices that are timely delivered by us under the SEPA and to purchase Class B Subordinate Voting Shares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under the SEPA is subject to the satisfaction, at the applicable Advance Notice Date, of certain conditions, including:</w:t>
      </w:r>
    </w:p>
    <w:p>
      <w:pPr>
        <w:spacing w:after="0" w:line="20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the Company and Yorkville included in the SEPA;</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that includes this prospectus (and any one or more additional registration statements filed with the SEC that include Class B Subordinate Voting Shares that may be issued and sold by us to Yorkville under the SEPA) having been declared effective under the Securities Act by the SEC, and we shall have filed with the SEC in a timely manner all reports, notices and other documents required under the Exchange Act and applicable SEC regulations during the twelve-month period immediately preceding the applicable Condition Satisfaction Date;</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performed, satisfied and complied in all material respects with all covenants, agreements and conditions required by the SEPA to be performed, satisfied or complied with by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permits and qualifications required by any applicable state or province for the offer and issuance of all the Class B Subordinate Voting Shares issuable pursuant to such Advance Notice or shall have the availability of exemptions therefrom. The issuance of such Class B Subordinate Voting Shares shall be legally permitted by all laws and regulations to which the Company is subject;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Outside Event (as such term is defined in the SEPA) shall have occurred and be continuing;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authority of competent jurisdiction that prohibits or materially and adversely affects any of the transactions contemplated by the SEPA;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jc w:val="both"/>
        <w:ind w:left="66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Subordinate Voting Shares are listed for trading on the Nasdaq and the TSX, and all Class B Subordinate Voting Shares issuable pursuant to such Advance Notice will be approved for listing on the Principal Markets. The issuance of Class B Subordinate Voting Shares with respect to the applicable Advance Notice will not violate the shareholder approval requirements of the applicable exchange. The Company shall not have received any written notice that is then still pending threatening the continued listing of the Class B Subordinate Voting Shares on the Principal Markets;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Class B Subordinate Voting Shares issuable pursuant to the applicable Advance Notice shall have been duly authorized by all necessary corporate action of the Company, and there shall be a sufficient number of authorized but unissued and otherwise unreserved Class B Subordinate Voting Shares for the issuance of all of the shares issuable pursuant to such Advance Notice;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first Advance Notice, the Company shall have delivered all Class B Subordinate Voting Shares relating to all prior Advances.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SEPA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earlier terminated as provided in the SEPA, the SEPA will terminate automatically on the earlier of:</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36 months following the effective date of the SEPA;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Yorkville shall have made payment of Advances pursuant to the SEPA for Class B Subordinate Voting Shares equal to the Commitment Amount of $300,000,000.</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the right to terminate the SEPA effective at any time upon written notice to Yorkville, provided that (i) there are no outstanding Advance Notices for which Class B Subordinate Voting Shares have yet to be issued and paid for, and (ii) we have paid all amounts owed to Yorkville pursuant to the SEPA as of the time of such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Short-Selling by Yorkville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Yorkville has agreed that it and its affiliates will not engage in any short sales of the Class B Subordinate Voting Shares during the term of the SEPA and will not enter into any transaction that establishes a net short position with respect to the Class B Subordinate Voting Shares. Notwithstanding the foregoing, Yorkville may sell Class B Subordinate Voting Shares that it is unconditionally obligated to purchase under a pending Advance Notice but has not yet received from us or our transfer agent pursuant to the SEPA.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Sales of our Class B Subordinate Voting Shares under the SEPA on our Shareholders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Class B Subordinate Voting Shares that may be issued or sold by us to Yorkville under the SEPA that are being registered under the Securities Act for resale by Yorkville in this offering are expected to be freely tradable pursuant to applicable U.S. securities laws. With respect to any resale by Yorkville of Class B Subordinate Voting Shares, Yorkville must comply with the requirements of OSC Rule 72-503 – </w:t>
      </w:r>
      <w:r>
        <w:rPr>
          <w:rFonts w:ascii="Times New Roman" w:cs="Times New Roman" w:eastAsia="Times New Roman" w:hAnsi="Times New Roman"/>
          <w:sz w:val="18"/>
          <w:szCs w:val="18"/>
          <w:i w:val="1"/>
          <w:iCs w:val="1"/>
          <w:color w:val="auto"/>
        </w:rPr>
        <w:t>Distributions Outside Canada.</w:t>
      </w:r>
      <w:r>
        <w:rPr>
          <w:rFonts w:ascii="Times New Roman" w:cs="Times New Roman" w:eastAsia="Times New Roman" w:hAnsi="Times New Roman"/>
          <w:sz w:val="18"/>
          <w:szCs w:val="18"/>
          <w:color w:val="auto"/>
        </w:rPr>
        <w:t xml:space="preserve"> The Class B Subordinate Voting Shares being registered for resale in this offering may be issued and sold by us to Yorkville from time to time at our discretion over the term of the SEPA. The resale by Yorkville of a significant amount of shares registered for resale in this offering at any given time, or the perception that these sales may occur, could cause the market price of our Class B Subordinate Voting Shares to decline and to be highly volatile. Sales of our Class B Subordinate Voting Shares, if any, to Yorkville under the SEPA will depend upon market conditions and other factors to be determined by us. We may ultimately decide to sell to Yorkville all, some or none of the Class B Subordinate Voting Shares that may be available for us to sell to Yorkville pursuant to the SEPA.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and when we do elect to sell Class B Subordinate Voting Shares to Yorkville pursuant to the SEPA, Yorkville may resell all, some or none of such shares in its discretion and at different prices subject to the terms of the SEPA.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to Yorkville under the SEPA, or if investors expect that we will do so, the actual sales of shares or the mere existence of our arrangement with Yorkville may make it more difficult for us to sell equity or equity-related securities in the future at a desirable time and price.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the Purchase Price per share to be paid by Yorkville for the Class B Subordinate Voting Shares that we may elect to sell to Yorkville under the SEPA, if any, will fluctuate based on the market prices of our Class B Subordinate Voting Shares during the applicable Pricing Period (as defined in the SEPA), as of the date of this prospectus we cannot reliably predict the number of Class B Subordinate Voting Shares that we will sell to Yorkville under the SEPA, the actual Purchase Price per share to be paid by Yorkville for those shares, or the actual gross proceeds to be raised by us from those sales, if any. If all of the 30,000,000 Class B Subordinate Voting Shares offered for resale by Yorkville under the registration statement that includes this prospectus were issued and outstanding as of May 14, 2026, such shares would represent approximately 40.9% of the total number of Class B Subordinate Voting Shares outstanding.</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the SEPA provides that we may, in our discretion, from time to time after the date of this prospectus and during the term of the SEPA, direct Yorkville to purchase Class B Subordinate Voting Shares from us in one or more Advances under the SEPA, for a maximum aggregate amount of up to $300,000,000, only 30,000,000 Class B Subordinate Voting Shares are being registered for resale under the registration statement that includes this prospectus. The Purchase Price per share will be equal to 97.50% of the Market Price during the applicable Pricing Period, provided that the Purchase Price shall not be less than the TSX Minimum Price.While the market price of our Class B Subordinate Voting Shares may fluctuate from time to time after the date of this prospectus and, as a result, the actual Purchase Price to be paid by Yorkville under the SEPA for Class B Subordinate Voting Shares, if any, may also fluctuate, in order for us to receive the full amount of Yorkville’s commitment under the SEPA, it is possible that we may need to issue and sell more than the number of shares being registered for resale under the registration statement that includes this prospectus.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issuance, if any, of our Class B Subordinate Voting Shares to Yorkville pursuant to the SEPA will not affect the rights or privileges of our existing shareholders, except that the economic and voting interests of each of our existing shareholders would be diluted. Although the number of Class B Subordinate Voting Shares that our existing shareholders own would not decrease as a result of sales, if any, under the SEPA, the Class B Subordinate Voting Shares owned by our existing shareholders would represent a smaller percentage of our total outstanding Class B Subordinate Voting Shares after any such issuance.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capitalization and indebtedness as of March 31, 2026. The information below should be read together with the information under “Management’s Discussion and Analysis of Financial Condition and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Xanadu</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Condensed</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198"/>
        </w:trPr>
        <w:tc>
          <w:tcPr>
            <w:tcW w:w="9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(US$) in</w:t>
            </w:r>
          </w:p>
        </w:tc>
        <w:tc>
          <w:tcPr>
            <w:tcW w:w="100" w:type="dxa"/>
            <w:vAlign w:val="bottom"/>
          </w:tcPr>
          <w:p>
            <w:pPr>
              <w:spacing w:after="0"/>
              <w:rPr>
                <w:sz w:val="17"/>
                <w:szCs w:val="17"/>
                <w:color w:val="auto"/>
              </w:rPr>
            </w:pPr>
          </w:p>
        </w:tc>
      </w:tr>
      <w:tr>
        <w:trPr>
          <w:trHeight w:val="241"/>
        </w:trPr>
        <w:tc>
          <w:tcPr>
            <w:tcW w:w="9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millions</w:t>
            </w:r>
          </w:p>
        </w:tc>
      </w:tr>
      <w:tr>
        <w:trPr>
          <w:trHeight w:val="236"/>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7"/>
                <w:szCs w:val="17"/>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00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unlimited Xanadu Class A Multiple Voting Shares authorized, no par value, 255,226,928 issued and outstanding;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unlimited Xanadu Class B Subordinate Voting Shares authorized, no par value, 43,284,436 shares issued and outstanding at March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9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31, 2026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478.2</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(228.3)</w:t>
            </w:r>
          </w:p>
        </w:tc>
      </w:tr>
      <w:tr>
        <w:trPr>
          <w:trHeight w:val="236"/>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capitalization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8"/>
                <w:szCs w:val="18"/>
                <w:color w:val="auto"/>
              </w:rPr>
            </w:pPr>
          </w:p>
        </w:tc>
      </w:tr>
      <w:tr>
        <w:trPr>
          <w:trHeight w:val="655"/>
        </w:trPr>
        <w:tc>
          <w:tcPr>
            <w:tcW w:w="99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resale of the Cohen Shares by Cohen or from the resale of Class B Subordinate Voting Shares by Yorkville pursuant to this prospectus, all of which will be sold by each respective selling securityholder for its own account.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However, we may receive up to $300,000,000 aggregate gross proceeds from sales of our Class B Subordinate Voting Shares by us to Yorkville pursuant to the SEPA (representing the full commitment amount before the application of the 2.5% discount to the Market Price at which Yorkville purchases shares). The net proceeds from sales, if any, under the SEPA will depend on the number of Class B Subordinate Voting Shares we sell to Yorkville, the timing of such sales, and the prices at which we sell such shares to Yorkville after the date of this prospectus. See the section titled “Plan of Distribution” elsewhere in this prospectus for more information.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use any proceeds that we receive under the SEPA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 Pending our use of the net proceeds as described above, we intend to invest the net proceeds pursuant to the SEPA in interest-bearing, investment-grade instruments.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ind w:left="218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 dollar amounts are expressed in thousands of United States dollars (“$”), unless otherwise indicated.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of Xanadu Quantum Technologies Limited were provided to aid you in your analysis of the financial aspects of the Business Combination and the transactions contemplated therein, including the PIPE Financing (collectively, the “Transactions”).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based on our historical financial statements, the CHAC historical financial statements and the Old Xanadu historical consolidated financial statements as adjusted to give effect to the Transactions. The unaudited pro forma condensed combined statement of operations and comprehensive loss for the year ended December 31, 2025 gives effect to the Transactions as if they had occurred on January 1, 2025. The unaudited pro forma condensed combined statement of operations and comprehensive loss for the three month period ended March 31, 2026 gives effect to the Transactions as if they had occurred on January 1, 2026.</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illustrative purposes only and do not necessarily reflect what the combined company’s financial condition or results of operations would have been had the Transactions occurred on the dates indicated. Further, the pro forma condensed combined financial information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and should be read in conjunction with:</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Xanadu as of and for the period from October 2, 2025 (inception) to December 31, 2025, and related notes included elsewhere in this prospectus;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CHAC as of and for the period from January 2, 2025 (inception) to December 31, 2025, and related notes;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Old Xanadu as of and for the fiscal year ended December 31, 2025, and the related notes included elsewhere in this prospectus;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Xanadu as of and for the three month period ended March 31, 2026 included elsewhere in this prospectus; and</w:t>
      </w:r>
    </w:p>
    <w:p>
      <w:pPr>
        <w:spacing w:after="0" w:line="15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elsewhere in this prospectus.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Description of the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3, 2025, Old Xanadu entered into the Business Combination Agreement with us and CHAC. At Closing, we had three authorized classes of shares, multiple voting shares (“Class A Multiple Voting Shares”), subordinate voting shares (“Class B Subordinate Voting Shares”) and preferred shares issuable in series, of which only Class A Multiple Voting Shares and Class B Subordinate Voting Shares were issued and outstanding.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Business Combination was effected pursuant to the Plan of Arrangement and completed through the following steps, subject to the terms and conditions of the Business Combination Agreement and the Plan of Arrangement:</w:t>
      </w:r>
    </w:p>
    <w:p>
      <w:pPr>
        <w:spacing w:after="0" w:line="162" w:lineRule="exact"/>
        <w:rPr>
          <w:sz w:val="20"/>
          <w:szCs w:val="20"/>
          <w:color w:val="auto"/>
        </w:rPr>
      </w:pPr>
    </w:p>
    <w:p>
      <w:pPr>
        <w:jc w:val="both"/>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2026, CHAC continued from the Cayman Islands Companies Act to the OBCA, and, in connection therewith, each issued and outstanding CHAC Class A Share and CHAC Class B Share became, respectively, a CHAC Class A Share and a CHAC Class B Share of CHAC as continued, and each outstanding CHAC Right, from and after the Continuance, represented the right to receive one-tenth of one CHAC Class A Share of CHAC as continued, in each case in accordance with their terms.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(i) each outstanding Old Xanadu Preferred Share was converted into and exchanged for one Old Xanadu Voting Common Share; and (ii) one minute thereafter, (A) each outstanding Old Xanadu Voting Common Share (including those issued upon conversion of Old Xanadu Preferred Shares) was transferred to Xanadu in exchange for Class A Multiple Voting Shares, and (B) each outstanding Old Xanadu Non-Voting Common Share was transferred to us in exchange for Class B Subordinate Voting Shares, in each case, in a number equal to the Exchange Ratio (as defined in the Business Combination Agreement), with no fractional Shares issued.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minute after the foregoing, (i) each Old Xanadu Voting Option outstanding immediately prior to the Effective Time (whether vested or unvested and notwithstanding the terms of any Old Xanadu equity incentive plan) was exchanged for an option to purchase Class A Multiple Voting Shares (“Xanadu MVS Options”) and, (ii) each Old Xanadu Non-Voting Option outstanding immediately prior to the Effective Time (whether vested or unvested and notwithstanding the terms of any Old Xanadu equity incentive plan) was exchanged for an option to purchase Class B Subordinate Voting Shares (“Xanadu SVS Options”). The number of Xanadu shares subject to each new option was determined by multiplying the number of Old Xanadu common shares subject to the original option by the Exchange Ratio (rounded down to the nearest whole share). The per-share exercise price for the new options was determined by dividing the prior exercise price by the Exchange Ratio. The strike price was converted from Canadian dollars to U.S. dollars to align with the trading of the Xanadu Class B Subordinate Voting Shares on Nasdaq.</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minute after the foregoing, the Old Xanadu SFTrust Warrants and RBC Warrants outstanding immediately prior to the closing of the Reverse Recapitalization were exchanged for warrants to purchase Xanadu Class A Multiple Voting Shares and Class B Subordinate Voting Shares based on the Exchange Ratio and a U.S. dollar denominated strike price.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CHAC Right was exercised for one-tenth of a CHAC Class A Share, and each CHAC Class A Share and CHAC Class B Share was transferred to us in exchange for one Class B Subordinate Voting Share, in each case, as provided in the Plan of Arrangement.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we entered into subscription agreements with the PIPE Investors, pursuant to which, subject to the consummation of the Business Combination, the PIPE Investors agreed to subscribe for and purchase, and we agreed to issue and sell, Class B Subordinate Voting Shares at a purchase price of $10.00 per share for aggregate gross proceeds of approximately $275 million. The unaudited pro forma condensed combined financial information reflects the exercise by CHAC shareholders of their redemption rights with respect to 19,428,395 CHAC Class A Shares at a redemption price of approximately $10.35 per share, resulting in aggregate cash redemptions of approximately $201.1 million. As part of the Transactions, CHAC Shares were also exchanged for Class B Subordinate Voting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Transactions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transactions contemplated in the Business Combination Agreement represented a reverse acquisition and were accounted for as a reverse recapitalization in accordance with U.S. GAAP. Under this method of accounting, CHAC was treated as the “acquired” company for financial reporting purposes and Old Xanadu was treated as the accounting acquirer, whereas we were the legal acquirer. This determination was primarily based on evaluation of the following facts and circumstances:</w:t>
      </w:r>
    </w:p>
    <w:p>
      <w:pPr>
        <w:spacing w:after="0" w:line="180" w:lineRule="exact"/>
        <w:rPr>
          <w:sz w:val="20"/>
          <w:szCs w:val="20"/>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Shareholders had the majority of the voting interest in the combined entity as described below with an approximate 86% equity interest (99% voting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identified a majority of the members of the Board;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management of the combined company was primarily comprised of individuals who were part of Old Xanadu’s senior management;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operations comprise the ongoing operations of the combined company.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Accordingly, for accounting purposes, the transactions contemplated in the Business Combination Agreement were treated as the equivalent of a capital transaction in which Old Xanadu issued shares through us for the net assets of CHAC, accompanied by a recapitalization. The net assets of CHAC were recognized at fair value, with no goodwill or other intangible assets recorded. Continuing operations prior to the Transactions are presented as those of Old Xanadu.</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Transactions, the Sponsor and its direct and indirect investors and other investors were the holders of 7,333,333 CHAC Class B Shares. Pursuant to the terms of the Plan of Arrangement, the CHAC Class B Shares were exchanged for Class B Subordinate Voting Shares. The Sponsor subjected 1,100,000 Class B Subordinate Voting Shares (the “Earn-out Shares”) it received in the Transactions, to an earn-out based on the price of the Class B Subordinate Voting Shares as follows: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the Closing, at any time during the period following the Closing and expiring on the fourth anniversary of the Closing Date (the “Vesting Term”),</w:t>
      </w:r>
    </w:p>
    <w:p>
      <w:pPr>
        <w:spacing w:after="0" w:line="162"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 of the Earn-out Shares shall be forfeited for no consideration if the share price of Class B Subordinate Voting Shares is not at least $12.50 per Class B Subordinate Voting Shares for 20 trading days within any 30 consecutive trading day period during the Vesting Term,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 additional Earn-out Shares shall be forfeited for no consideration if the share price of Class B Subordinate Voting Shares is not at least $15.00 per Class B Subordinate Voting Shares for 20 trading days within any 30 consecutive trading day period during the Vesting Term.</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Vesting is not subject to any employment conditions of the holder of the Earn-out Shares. However, in the event of (A) a merger, amalgamation, arrangement, consolidation or other business combination involving us, (B) a sale of all or substantially all of our assets, or (C) any other transaction or series of related transactions as a result of which the holders of Class B Subordinate Voting Shares immediately prior to such transaction cease to own at least a majority of our outstanding Class B Subordinate Voting Shares or our successor entity, in any case, during the Vesting Term, then, immediately prior to the consummation of such transaction, any and all Earn-out Shares shall become fully vested and shall no longer be subject to forfeiture under the Business Combination Agreement and Sponsor Letter Agreement.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previous pro forma presentations, the Earn-out Shares were classified as a liability on the balance sheet and were recognized at fair value each period-end through settlement and thus were evaluated solely for potential dilutive impact on earnings per share. Upon finalization of the transaction accounting during the period ended March 31, 2026, it was determined that these shares met the criteria for inclusion in the basic earnings per share calculation. This change increased the weighted average shares outstanding for basic earnings per share by 1,100,000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Pro Forma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w:t>
      </w:r>
      <w:r>
        <w:rPr>
          <w:rFonts w:ascii="Times New Roman" w:cs="Times New Roman" w:eastAsia="Times New Roman" w:hAnsi="Times New Roman"/>
          <w:sz w:val="18"/>
          <w:szCs w:val="18"/>
          <w:i w:val="1"/>
          <w:iCs w:val="1"/>
          <w:color w:val="auto"/>
        </w:rPr>
        <w:t>Amendments of Financial Disclosures about Acquired and Disposed Business</w:t>
      </w:r>
      <w:r>
        <w:rPr>
          <w:rFonts w:ascii="Times New Roman" w:cs="Times New Roman" w:eastAsia="Times New Roman" w:hAnsi="Times New Roman"/>
          <w:sz w:val="18"/>
          <w:szCs w:val="18"/>
          <w:color w:val="auto"/>
        </w:rPr>
        <w:t>.” Release No. 33-10786 replaces the historical pro forma adjustment criteria with simplified requirements to depict the accounting for the Transactions (“Transaction Adjustment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and present the reasonable estimate synergies and other effects related to the Transactions that have occurred or are reasonably expected to occur (“Management’s Adjustments”). We, Old Xanadu and CHAC have elected not to present Management’s Adjustments and will only be presenting Transaction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and comprehensive loss for the year ended December 31, 2025 combines our audited historical statement of operations and comprehensive loss for the period from October 2, 2025 (inception) to December 31, 2025 and the audited historical statement of operations and comprehensive loss of Old Xanadu for the year ended December 31, 2025 and the audited historical statement of operations of CHAC for the period from January 2, 2025 (inception) to December 31, 2025, and gives effect to the Transactions as if they had been consummated on January 1, 2025. The unaudited pro forma condensed combined statement of operations and comprehensive loss for the three month period ended March 31, 2026 combines our historical unaudited condensed consolidated statement of operations and comprehensive loss for the three month period ended March 31, 2026, and the unaudited historical statement of operations and comprehensive loss of Old Xanadu for the period from January 1, 2026 to March 26, 2026, and the unaudited historical statement of operations of CHAC for the period from January 1, 2026 to March 26, 2026, and gives effect to the Transactions as if they had been consummated on January 1, 2026.</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Transactions are based on certain currently available information and certain assumptions and methodologies that we, Old Xanadu and CHAC believe are reasonable under the circumstances. The pro forma adjustments, which are described in the accompanying notes, may be revised as additional information becomes available and is evaluated. We, Old Xanadu and CHAC believe that our assumptions and methodologies provide a reasonable basis for presenting all the significant effects of the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Transactions. We, Old Xanadu and CHAC have not had any historical relationship prior to the Transactions. Accordingly, no pro forma adjustments were required to eliminate activities between the companies.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Included in the weighted average shares outstanding as presented in the unaudited pro forma condensed combined financial statements were our Shares issued to Old Xanadu Shareholders at Closing, the Class B Subordinate Voting Shares issued to CHAC Shareholders (excluding the Sponsor), the Class B Subordinate Voting Shares issued in respect of the Sponsor Shares (including the Earn-out Shares), and the Class B Subordinate Voting Shares issued to PIPE Investors. The share count as of January 1, 2025 was assumed to be the total balance of shares outstanding as of December 31, 2025, including the assumption that all share options exercised during the year ended December 31, 2025 occurred on January 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Xanadu</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Xanadu</w:t>
            </w:r>
          </w:p>
        </w:tc>
        <w:tc>
          <w:tcPr>
            <w:tcW w:w="120" w:type="dxa"/>
            <w:vAlign w:val="bottom"/>
          </w:tcPr>
          <w:p>
            <w:pPr>
              <w:spacing w:after="0"/>
              <w:rPr>
                <w:sz w:val="18"/>
                <w:szCs w:val="18"/>
                <w:color w:val="auto"/>
              </w:rPr>
            </w:pPr>
          </w:p>
        </w:tc>
        <w:tc>
          <w:tcPr>
            <w:tcW w:w="120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Xanadu</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Crane</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Quantum</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Quantum</w:t>
            </w:r>
          </w:p>
        </w:tc>
        <w:tc>
          <w:tcPr>
            <w:tcW w:w="120" w:type="dxa"/>
            <w:vAlign w:val="bottom"/>
          </w:tcPr>
          <w:p>
            <w:pPr>
              <w:spacing w:after="0"/>
              <w:rPr>
                <w:sz w:val="18"/>
                <w:szCs w:val="18"/>
                <w:color w:val="auto"/>
              </w:rPr>
            </w:pPr>
          </w:p>
        </w:tc>
        <w:tc>
          <w:tcPr>
            <w:tcW w:w="120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Quantum</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Harbor</w:t>
            </w:r>
          </w:p>
        </w:tc>
        <w:tc>
          <w:tcPr>
            <w:tcW w:w="80" w:type="dxa"/>
            <w:vAlign w:val="bottom"/>
          </w:tcPr>
          <w:p>
            <w:pPr>
              <w:spacing w:after="0"/>
              <w:rPr>
                <w:sz w:val="18"/>
                <w:szCs w:val="18"/>
                <w:color w:val="auto"/>
              </w:rPr>
            </w:pPr>
          </w:p>
        </w:tc>
        <w:tc>
          <w:tcPr>
            <w:tcW w:w="11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520" w:type="dxa"/>
            <w:vAlign w:val="bottom"/>
          </w:tcPr>
          <w:p>
            <w:pPr>
              <w:spacing w:after="0"/>
              <w:rPr>
                <w:sz w:val="18"/>
                <w:szCs w:val="18"/>
                <w:color w:val="auto"/>
              </w:rPr>
            </w:pPr>
          </w:p>
        </w:tc>
        <w:tc>
          <w:tcPr>
            <w:tcW w:w="1640" w:type="dxa"/>
            <w:vAlign w:val="bottom"/>
            <w:gridSpan w:val="3"/>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w w:val="97"/>
              </w:rPr>
              <w:t>Technologies</w:t>
            </w:r>
          </w:p>
        </w:tc>
      </w:tr>
      <w:tr>
        <w:trPr>
          <w:trHeight w:val="216"/>
        </w:trPr>
        <w:tc>
          <w:tcPr>
            <w:tcW w:w="4200" w:type="dxa"/>
            <w:vAlign w:val="bottom"/>
          </w:tcPr>
          <w:p>
            <w:pPr>
              <w:spacing w:after="0"/>
              <w:rPr>
                <w:sz w:val="18"/>
                <w:szCs w:val="18"/>
                <w:color w:val="auto"/>
              </w:rPr>
            </w:pPr>
          </w:p>
        </w:tc>
        <w:tc>
          <w:tcPr>
            <w:tcW w:w="12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Technologies</w:t>
            </w:r>
          </w:p>
        </w:tc>
        <w:tc>
          <w:tcPr>
            <w:tcW w:w="13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Technologies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80" w:type="dxa"/>
            <w:vAlign w:val="bottom"/>
          </w:tcPr>
          <w:p>
            <w:pPr>
              <w:spacing w:after="0"/>
              <w:rPr>
                <w:sz w:val="18"/>
                <w:szCs w:val="18"/>
                <w:color w:val="auto"/>
              </w:rPr>
            </w:pPr>
          </w:p>
        </w:tc>
        <w:tc>
          <w:tcPr>
            <w:tcW w:w="11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Limited</w:t>
            </w:r>
          </w:p>
        </w:tc>
      </w:tr>
      <w:tr>
        <w:trPr>
          <w:trHeight w:val="245"/>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120" w:type="dxa"/>
            <w:vAlign w:val="bottom"/>
          </w:tcPr>
          <w:p>
            <w:pPr>
              <w:spacing w:after="0"/>
              <w:rPr>
                <w:sz w:val="21"/>
                <w:szCs w:val="21"/>
                <w:color w:val="auto"/>
              </w:rPr>
            </w:pPr>
          </w:p>
        </w:tc>
        <w:tc>
          <w:tcPr>
            <w:tcW w:w="120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Inc.</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Corp.</w:t>
            </w:r>
          </w:p>
        </w:tc>
        <w:tc>
          <w:tcPr>
            <w:tcW w:w="12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5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8"/>
        </w:trPr>
        <w:tc>
          <w:tcPr>
            <w:tcW w:w="4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4"/>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below)</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55,237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55,237</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6,270</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24,209</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5,849</w:t>
            </w:r>
          </w:p>
        </w:tc>
      </w:tr>
      <w:tr>
        <w:trPr>
          <w:trHeight w:val="23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(1,616)</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Pr>
          <w:p>
            <w:pPr>
              <w:spacing w:after="0"/>
              <w:rPr>
                <w:sz w:val="20"/>
                <w:szCs w:val="20"/>
                <w:color w:val="auto"/>
              </w:rPr>
            </w:pPr>
          </w:p>
        </w:tc>
        <w:tc>
          <w:tcPr>
            <w:tcW w:w="15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(5,729)</w:t>
            </w:r>
          </w:p>
        </w:tc>
      </w:tr>
      <w:tr>
        <w:trPr>
          <w:trHeight w:val="236"/>
        </w:trPr>
        <w:tc>
          <w:tcPr>
            <w:tcW w:w="4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81,117</w:t>
            </w: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(69,322)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(4,654)</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(76,500)</w:t>
            </w:r>
          </w:p>
        </w:tc>
        <w:tc>
          <w:tcPr>
            <w:tcW w:w="560" w:type="dxa"/>
            <w:vAlign w:val="bottom"/>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1,209</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(6,097)</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100" w:type="dxa"/>
            <w:vAlign w:val="bottom"/>
          </w:tcPr>
          <w:p>
            <w:pPr>
              <w:spacing w:after="0"/>
              <w:rPr>
                <w:sz w:val="18"/>
                <w:szCs w:val="18"/>
                <w:color w:val="auto"/>
              </w:rPr>
            </w:pPr>
          </w:p>
        </w:tc>
        <w:tc>
          <w:tcPr>
            <w:tcW w:w="154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(2,554)</w:t>
            </w:r>
          </w:p>
        </w:tc>
      </w:tr>
      <w:tr>
        <w:trPr>
          <w:trHeight w:val="210"/>
        </w:trPr>
        <w:tc>
          <w:tcPr>
            <w:tcW w:w="42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(1,345</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6,097</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(6,097</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(1,345</w:t>
            </w:r>
          </w:p>
        </w:tc>
        <w:tc>
          <w:tcPr>
            <w:tcW w:w="560" w:type="dxa"/>
            <w:vAlign w:val="bottom"/>
            <w:tcBorders>
              <w:top w:val="single" w:sz="8" w:color="CCEEFF"/>
              <w:bottom w:val="single" w:sz="8" w:color="CCEEFF"/>
            </w:tcBorders>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(77,845)</w:t>
            </w:r>
          </w:p>
        </w:tc>
        <w:tc>
          <w:tcPr>
            <w:tcW w:w="5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(0.26)(d)</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Class A ordinary shares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 Class A ordinary shares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Class B ordinary shares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 Class B ordinary shares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8"/>
        </w:trPr>
        <w:tc>
          <w:tcPr>
            <w:tcW w:w="4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net loss per</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4"/>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basic and diluted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296,203,882</w:t>
            </w: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Class A ordinary</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basic</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15,405,179</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4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Class A ordinary</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4"/>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diluted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15,405,179</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Class B ordinary</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basic</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7,010,101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4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Class B ordinary</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4"/>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diluted</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7,288,338</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(10,751)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(77,845)</w:t>
            </w: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3,216</w:t>
            </w:r>
          </w:p>
        </w:tc>
      </w:tr>
      <w:tr>
        <w:trPr>
          <w:trHeight w:val="210"/>
        </w:trPr>
        <w:tc>
          <w:tcPr>
            <w:tcW w:w="4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(67,451</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3,585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(10,751</w:t>
            </w:r>
          </w:p>
        </w:tc>
        <w:tc>
          <w:tcPr>
            <w:tcW w:w="14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(74,629</w:t>
            </w:r>
          </w:p>
        </w:tc>
        <w:tc>
          <w:tcPr>
            <w:tcW w:w="560" w:type="dxa"/>
            <w:vAlign w:val="bottom"/>
            <w:tcBorders>
              <w:top w:val="single" w:sz="8" w:color="CCEEFF"/>
            </w:tcBorders>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4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99"/>
              </w:rPr>
              <w:t>78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8"/>
              </w:rPr>
              <w:t>Xanadu</w:t>
            </w:r>
          </w:p>
        </w:tc>
      </w:t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Xanadu</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Crane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Quantum</w:t>
            </w:r>
          </w:p>
        </w:tc>
      </w:t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Quantum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Harbor</w:t>
            </w:r>
          </w:p>
        </w:tc>
        <w:tc>
          <w:tcPr>
            <w:tcW w:w="10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440" w:type="dxa"/>
            <w:vAlign w:val="bottom"/>
            <w:gridSpan w:val="3"/>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Technologies</w:t>
            </w:r>
          </w:p>
        </w:tc>
      </w:t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7"/>
              </w:rPr>
              <w:t>Technologies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00" w:type="dxa"/>
            <w:vAlign w:val="bottom"/>
          </w:tcPr>
          <w:p>
            <w:pPr>
              <w:spacing w:after="0"/>
              <w:rPr>
                <w:sz w:val="18"/>
                <w:szCs w:val="18"/>
                <w:color w:val="auto"/>
              </w:rPr>
            </w:pPr>
          </w:p>
        </w:tc>
        <w:tc>
          <w:tcPr>
            <w:tcW w:w="14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20" w:type="dxa"/>
            <w:vAlign w:val="bottom"/>
          </w:tcPr>
          <w:p>
            <w:pPr>
              <w:spacing w:after="0"/>
              <w:rPr>
                <w:sz w:val="18"/>
                <w:szCs w:val="18"/>
                <w:color w:val="auto"/>
              </w:rPr>
            </w:pPr>
          </w:p>
        </w:tc>
        <w:tc>
          <w:tcPr>
            <w:tcW w:w="132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8"/>
              </w:rPr>
              <w:t>Limited</w:t>
            </w:r>
          </w:p>
        </w:tc>
      </w:tr>
      <w:tr>
        <w:trPr>
          <w:trHeight w:val="245"/>
        </w:trPr>
        <w:tc>
          <w:tcPr>
            <w:tcW w:w="5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Corp.</w:t>
            </w:r>
          </w:p>
        </w:tc>
        <w:tc>
          <w:tcPr>
            <w:tcW w:w="1540" w:type="dxa"/>
            <w:vAlign w:val="bottom"/>
            <w:gridSpan w:val="3"/>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1"/>
                <w:szCs w:val="21"/>
                <w:color w:val="auto"/>
              </w:rPr>
            </w:pPr>
          </w:p>
        </w:tc>
        <w:tc>
          <w:tcPr>
            <w:tcW w:w="132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below)</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17,348</w:t>
            </w: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(6,270)(a)</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4,294</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1,401</w:t>
            </w: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1,617</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(895)(e)</w:t>
            </w:r>
          </w:p>
        </w:tc>
        <w:tc>
          <w:tcPr>
            <w:tcW w:w="12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(5,034)</w:t>
            </w:r>
          </w:p>
        </w:tc>
      </w:tr>
      <w:tr>
        <w:trPr>
          <w:trHeight w:val="236"/>
        </w:trPr>
        <w:tc>
          <w:tcPr>
            <w:tcW w:w="5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420" w:type="dxa"/>
            <w:vAlign w:val="bottom"/>
            <w:tcBorders>
              <w:top w:val="single" w:sz="8" w:color="CCEEFF"/>
              <w:bottom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(23,267)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(7,165)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(16,907)</w:t>
            </w:r>
          </w:p>
        </w:tc>
        <w:tc>
          <w:tcPr>
            <w:tcW w:w="320" w:type="dxa"/>
            <w:vAlign w:val="bottom"/>
          </w:tcPr>
          <w:p>
            <w:pPr>
              <w:spacing w:after="0"/>
              <w:rPr>
                <w:sz w:val="17"/>
                <w:szCs w:val="17"/>
                <w:color w:val="auto"/>
              </w:rPr>
            </w:pPr>
          </w:p>
        </w:tc>
      </w:tr>
      <w:tr>
        <w:trPr>
          <w:trHeight w:val="216"/>
        </w:trPr>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(1,704)(f)</w:t>
            </w:r>
          </w:p>
        </w:tc>
        <w:tc>
          <w:tcPr>
            <w:tcW w:w="12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fair value of earn out share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(2,833)(g)</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w:t>
            </w:r>
          </w:p>
        </w:tc>
      </w:tr>
      <w:tr>
        <w:trPr>
          <w:trHeight w:val="236"/>
        </w:trPr>
        <w:tc>
          <w:tcPr>
            <w:tcW w:w="5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420" w:type="dxa"/>
            <w:vAlign w:val="bottom"/>
            <w:tcBorders>
              <w:top w:val="single" w:sz="8" w:color="CCEEFF"/>
              <w:bottom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(20,604)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2,628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(17,077)</w:t>
            </w:r>
          </w:p>
        </w:tc>
        <w:tc>
          <w:tcPr>
            <w:tcW w:w="320" w:type="dxa"/>
            <w:vAlign w:val="bottom"/>
          </w:tcPr>
          <w:p>
            <w:pPr>
              <w:spacing w:after="0"/>
              <w:rPr>
                <w:sz w:val="17"/>
                <w:szCs w:val="17"/>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(0.06)(h)</w:t>
            </w:r>
          </w:p>
        </w:tc>
      </w:tr>
      <w:tr>
        <w:trPr>
          <w:trHeight w:val="198"/>
        </w:trPr>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 basic and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72,458,652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296,707,370</w:t>
            </w:r>
          </w:p>
        </w:tc>
      </w:tr>
      <w:tr>
        <w:trPr>
          <w:trHeight w:val="216"/>
        </w:trPr>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(20,604)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(17,077)</w:t>
            </w:r>
          </w:p>
        </w:tc>
      </w:tr>
      <w:tr>
        <w:trPr>
          <w:trHeight w:val="23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income (loss)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(20,821</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5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88"/>
              </w:rPr>
              <w:t>79</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1" w:name="page92"/>
    <w:bookmarkEnd w:id="91"/>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 of Operations and Comprehensive Loss for the year ended December 31, 2025</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pro forma notes and adjustments, based on preliminary estimates that could change materially as additional information is obtained, are as follows (in thousands, except share and per share amounts):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Transaction Accounting Adjustments:</w:t>
      </w:r>
    </w:p>
    <w:p>
      <w:pPr>
        <w:spacing w:after="0" w:line="229"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transaction costs which occurred after the year end up to the date of the Transactions and includes costs incurred by both Old Xanadu and CHAC. The Transactions are not expected to have a recurring impact.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2025 fair value remeasurement of the warrant liabilities recorded in other operating income (expense), net within the 2025 fiscal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adjustments to eliminate the interest income earned and unrealized gain on investments held in CHAC’s trust account.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basic and diluted earnings per share amounts presented in the unaudited pro forma condensed combined statement of operations and comprehensive loss based upon the number of Old Xanadu Common Shares outstanding immediately prior to the closing of the Transactions, assuming the Transactions occurred on January 1, 2025. The share count as of January 1, 2025 was assumed to be the total balance of shares outstanding as of December 31, 2025, including the assumption that all share options exercised during the year ended December 31, 2025 occurred on January 1, 2025. As the unaudited pro forma condensed combined statement of operations and comprehensive loss is in a loss position, anti-dilutive instruments were not included in the calculation of diluted weighted average number of shares outstanding (the anti-dilutive instruments are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weighted average shares outstanding — basic and diluted is calculated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4"/>
        </w:trPr>
        <w:tc>
          <w:tcPr>
            <w:tcW w:w="10020" w:type="dxa"/>
            <w:vAlign w:val="bottom"/>
          </w:tcPr>
          <w:p>
            <w:pPr>
              <w:spacing w:after="0" w:line="194" w:lineRule="exact"/>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(77,845)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10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Old Xanadu Shareholders</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255,894,945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CHAC Public Shareholders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4,771,604</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CHAC Private Placement Shareholders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704,000</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CHAC Sponsor shares (includes Earn-out Shares)</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7,333,333</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 forma weighted average shares outstanding, basic and diluted</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296,203,882</w:t>
            </w:r>
          </w:p>
        </w:tc>
        <w:tc>
          <w:tcPr>
            <w:tcW w:w="100" w:type="dxa"/>
            <w:vAlign w:val="bottom"/>
            <w:tcBorders>
              <w:top w:val="single" w:sz="8" w:color="CCEEFF"/>
              <w:bottom w:val="single" w:sz="8" w:color="CCEEFF"/>
            </w:tcBorders>
          </w:tcPr>
          <w:p>
            <w:pPr>
              <w:spacing w:after="0"/>
              <w:rPr>
                <w:sz w:val="18"/>
                <w:szCs w:val="18"/>
                <w:color w:val="auto"/>
              </w:rPr>
            </w:pPr>
          </w:p>
        </w:tc>
      </w:tr>
      <w:tr>
        <w:trPr>
          <w:trHeight w:val="263"/>
        </w:trPr>
        <w:tc>
          <w:tcPr>
            <w:tcW w:w="10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 forma basic and diluted net (loss) per share</w:t>
            </w:r>
            <w:r>
              <w:rPr>
                <w:rFonts w:ascii="Times New Roman" w:cs="Times New Roman" w:eastAsia="Times New Roman" w:hAnsi="Times New Roman"/>
                <w:sz w:val="29"/>
                <w:szCs w:val="29"/>
                <w:color w:val="auto"/>
                <w:vertAlign w:val="superscript"/>
              </w:rPr>
              <w:t>(2)(3)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count as of January 1, 2025 was assumed to be the total balance of shares outstanding as of December 31, 2025, including the assumption that all share options exercised during the year ended December 31, 2025 occurred on January 1, 2025.</w:t>
      </w:r>
    </w:p>
    <w:p>
      <w:pPr>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basic and diluted weighted average shares outstanding are the same in a net loss position, combined pro forma diluted net loss per share excludes 677,934 Old Xanadu Warrants and 49,486,556 Old Xanadu Options.</w:t>
      </w:r>
    </w:p>
    <w:p>
      <w:pPr>
        <w:ind w:left="340" w:hanging="332"/>
        <w:spacing w:after="0" w:line="26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pro forma basic net loss per share and diluted loss per share includes the impact of earn-out consideration comprising 1,100,000 shares of Earn-out Shares, as the shares have been issued.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Old Xanadu’s pro forma options and warrants as of December 31, 2025 are as follows based on an Exchange Ratio of 11.28: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Old Xanadu Warrants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677,934</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Old Xanadu Stock Options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49,486,556</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Xanadu Shares issuable to Old Xanadu (Dilutive)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 of Operations and Comprehensive Loss for the three month period ended March 31, 2026</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pro forma notes and adjustments, based on preliminary estimates that could change materially as additional information is obtained, are as follows (in thousands, except share and per share amounts):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Transaction Accounting Adjustments:</w:t>
      </w:r>
    </w:p>
    <w:p>
      <w:pPr>
        <w:spacing w:after="0" w:line="229"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recording of the post December 31, 2025 transaction costs in the 2025 unaudited pro forma condensed combined statement of operations and comprehensive loss.</w:t>
      </w:r>
    </w:p>
    <w:p>
      <w:pPr>
        <w:spacing w:after="0" w:line="162" w:lineRule="exact"/>
        <w:rPr>
          <w:sz w:val="20"/>
          <w:szCs w:val="20"/>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2026 fair value remeasurement of the warrant liabilities recorded in other operating (income) expense, net within the three month period ended March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adjustments to eliminate the interest income earned and unrealized gain on investments held in CHAC’s trust account.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2026 fair value remeasurement of the earn out share liabilities recorded in gain on fair value of earn out share liabilities within the three month period ended March 31, 2026</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basic and diluted earnings per share amounts presented in the unaudited pro forma condensed combined statement of operations and comprehensive loss based upon the number of Old Xanadu Common Shares outstanding immediately prior to the closing of the Transactions, assuming the Transactions occurred on January 1, 2026. As the unaudited pro forma condensed combined statement of operations and comprehensive loss is in a loss position, anti-dilutive instruments were not included in the calculation of diluted weighted average number of shares outstanding (the anti-dilutive instruments are described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weighted average shares outstanding — basic and diluted is calculated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Period Ended</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0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r>
      <w:tr>
        <w:trPr>
          <w:trHeight w:val="194"/>
        </w:trPr>
        <w:tc>
          <w:tcPr>
            <w:tcW w:w="10020" w:type="dxa"/>
            <w:vAlign w:val="bottom"/>
          </w:tcPr>
          <w:p>
            <w:pPr>
              <w:spacing w:after="0" w:line="194" w:lineRule="exact"/>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(17,077)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Old Xanadu Shareholders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256,398,433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CHAC Public Shareholders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4,771,604</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CHAC Private Placement Shareholders</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704,000</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CHAC Sponsor shares (includes Earn-out Shares)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7,333,333</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 forma weighted average shares outstanding, basic and diluted</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296,707,370</w:t>
            </w:r>
          </w:p>
        </w:tc>
        <w:tc>
          <w:tcPr>
            <w:tcW w:w="100" w:type="dxa"/>
            <w:vAlign w:val="bottom"/>
            <w:tcBorders>
              <w:top w:val="single" w:sz="8" w:color="CCEEFF"/>
              <w:bottom w:val="single" w:sz="8" w:color="CCEEFF"/>
            </w:tcBorders>
          </w:tcPr>
          <w:p>
            <w:pPr>
              <w:spacing w:after="0"/>
              <w:rPr>
                <w:sz w:val="18"/>
                <w:szCs w:val="18"/>
                <w:color w:val="auto"/>
              </w:rPr>
            </w:pPr>
          </w:p>
        </w:tc>
      </w:tr>
      <w:tr>
        <w:trPr>
          <w:trHeight w:val="263"/>
        </w:trPr>
        <w:tc>
          <w:tcPr>
            <w:tcW w:w="10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 forma basic and diluted net income (loss) per share</w:t>
            </w:r>
            <w:r>
              <w:rPr>
                <w:rFonts w:ascii="Times New Roman" w:cs="Times New Roman" w:eastAsia="Times New Roman" w:hAnsi="Times New Roman"/>
                <w:sz w:val="29"/>
                <w:szCs w:val="29"/>
                <w:color w:val="auto"/>
                <w:vertAlign w:val="superscript"/>
              </w:rPr>
              <w:t>(1)(2)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basic and diluted weighted average shares outstanding are the same in a net loss position, combined pro forma diluted net loss per share excludes 157,960 Old Xanadu Warrants and 47,237,616 Old Xanadu Options.</w:t>
      </w:r>
    </w:p>
    <w:p>
      <w:pPr>
        <w:ind w:left="340" w:hanging="332"/>
        <w:spacing w:after="0" w:line="26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pro forma basic net loss per share and diluted loss per share includes the impact of earn-out consideration comprising 1,100,000 shares of Earn-out Shares, as the shares have been issued.</w:t>
      </w:r>
    </w:p>
    <w:p>
      <w:pPr>
        <w:spacing w:after="0" w:line="18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Xanadu’s pro forma options and warrants as of March 31, 2026 are as follows based on an Exchange Ratio of 11.28: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Old Xanadu Warrants</w:t>
            </w:r>
          </w:p>
        </w:tc>
        <w:tc>
          <w:tcPr>
            <w:tcW w:w="6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157,960</w:t>
            </w: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Old Xanadu Stock Options</w:t>
            </w:r>
          </w:p>
        </w:tc>
        <w:tc>
          <w:tcPr>
            <w:tcW w:w="6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47,237,616</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Xanadu Shares issuable to Old Xanadu (Dilutive)</w:t>
            </w:r>
          </w:p>
        </w:tc>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47,395,576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526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share capital. We intend to retain our future earnings, if any, to finance the further development and expansion of our business and do not intend to pay cash dividends or make distributions in the foreseeable future. Any future determination to pay dividends or make distributions will be made at the discretion of the Board, subject to applicable laws. It will depend on a number of factors, including our financial condition, results of operations, capital requirements, contractual, legal, tax and regulatory restrictions, general business conditions and other factors that the Board may deem relevant.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Quantum Computing Terms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following is a summary of certain key quantum computing terms used in this prospectus.</w:t>
      </w:r>
    </w:p>
    <w:p>
      <w:pPr>
        <w:spacing w:after="0" w:line="227"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Packaging Technology” is our proprietary low-loss optical packaging and fiber-coupling innovations used in photonic integrated circuits.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“ASIC (Application-Specific Integrated Circuit)” means custom semiconductor hardware designed for dedicated processing tasks such as real-time quantum decoding.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“Aurora” is our networked, modular, and scalable photonic quantum computer demonstrating real-time error detection and photonic rack interconnection.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“Bell Pair” is a maximally entangled two-qubit quantum state used as a foundational resource in photonic cluster-state generation.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“Borealis” is our 216-qubit photonic quantum computer that demonstrated quantum computational advantage in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“Catalyst” is our fault-tolerant quantum compiler and Just-In-Time compilation framework that translates high-level programs into hardware-executable instructions.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“Cluster State” means a highly entangled multi-qubit quantum state used as the computational resource in measurement-based quantum computing.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“Cluster-State Lattice” is the large-scale entangled photonic resource state used in our MBQC computational model.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“Coherence” means the property describing how long a quantum system maintains its quantum state without decoherence.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“Compiler Stack” means the integrated software pipeline converting high-level programs into low-level hardware instructions.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“Cryogenic Cooling” refers to extremely low-temperature cooling systems required by certain quantum computing modalities.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“Decoder” is classical hardware or software used to process quantum measurement outcomes and perform quantum error correction.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“Discrete-Variable MBQC Layer” is a software compilation layer that maps logical operations into a discrete-variable representation prior to physical GKP implementation.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“Distributed Quantum Computing” is architecture enabling multiple interconnected quantum processors to function as a unified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“Entanglement” means quantum mechanical correlation between particles such that the state of one depends on the other.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“EUV Lithography” is extreme ultraviolet lithography; a nanoscale semiconductor fabrication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“Feedforward” means real-time adjustment of quantum operations based on prior measurement results.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“FPGA (Field-Programmable Gate Array)” is reconfigurable semiconductor hardware used for low-latency classical control and decoding.</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“Full-Stack Quantum Computing Model” is a business strategy integrating hardware, software, algorithm development, and compute access within a single vertically integrated framework.</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“Gaussian Boson Sampling (GBS)” is a photonic quantum protocol used for generating non-classical states and performing specialized computational tasks.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“Gaussian State” is a quantum optical state described by Gaussian statistics in phase space, typically generated via squeezing operations.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“Gottesman — Kitaev — Preskill (GKP) Qubits” are continuous-variable quantum encoding storing information in optical quadratures with intrinsic error resilience.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“GKP Magic State” is an ancillary non-Clifford photonic state required to enable universal quantum computation within the MBQC framework.</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“High-Connectivity Architecture” is a photonic architecture enabling strong interconnections between logical qubits for efficient error correction and algorithm execution.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“Homodyne Detection” is an optical measurement technique used to measure the quadratures of light fields.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“Hybrid Quantum — Classical” refers to a computational workflow combining quantum hardware with classical processing.</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Photonics Platform” is our heterogeneous semiconductor stack combining Silicon Nitride (SiN), Thin-Film Lithium Niobate (TFLN), and III-V materials.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“Interconnect” is an optical fiber or chip-based connection linking quantum subsystems or racks.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Development Agreement (JDA)” is a contractual framework for co-developing quantum algorithms and intellectual property with strategic partners.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“Logical Qubit” is an error-corrected qubit encoded across multiple physical qubits to increase computational stability.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“Low-Density Parity-Check (qLDPC) Code” is a quantum error-correction code designed to reduce the overhead required for fault tolerance.</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“Macronization/Stitching” is the process of assembling and extending a photonic cluster-state lattice across modules using linear optics and feedforward.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“Measurement-Based Quantum Computing (MBQC)” is a quantum computational model in which operations are executed via measurements on a pre-entangled cluster state.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“Modular Rack Architecture” is a standardized data-center deployable subsystem housing quantum photonic components interconnected via optical fiber.</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“Multiplexing” is a technique used to combine or route multiple optical signals to improve scalability and success probability.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“Networked Architecture” is a system design enabling multiple quantum processors to be interconnected through optical fiber.</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96" w:name="page97"/>
    <w:bookmarkEnd w:id="96"/>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“Neutral Atom” is a quantum computing modality using laser-trapped neutral atoms as qubits.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“NISQ (Noisy Intermediate-Scale Quantum)” refers to early-stage quantum systems lacking full fault tolerance.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“Pauli Product Measurement (PPM)” is a measurement of products of Pauli operators used in fault-tolerant quantum protocols.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“PennyLane” is our open-source quantum programming software development kit enabling hybrid quantum — classical algorithm development across hardware platforms.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“Photonic Integrated Circuit (PIC)” is a semiconductor chip integrating optical components for light-based computation.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“Photon-Number-Resolving (PNR) Detector” is a detector capable of distinguishing the number of photons present in a given optical mode.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Qubit” is the underlying hardware qubit subject to physical noise and operational errors.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Advantage” is a demonstrable performance improvement of a quantum system over classical systems for a specific practical task.</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Benchmarking Initiative (QBI)” is a DARPA-led program assessing and validating quantum computing system performance against standardized metrics.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Data Center” is a large-scale deployment of photonic quantum processors integrated with classical infrastructure in a commercial facility.</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Error Correction (QEC)” refers to techniques used to detect and correct errors during quantum computation.</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Fluid Dynamics (QFD)” is an application of quantum algorithms to fluid-dynamics modeling problems for aerospace and industrial systems.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Supremacy” is a milestone where a quantum computer performs a task infeasible for classical supercomputers.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“Refinery” is a photonic subsystem responsible for improving the squeezing quality and fidelity of heralded GKP states.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 Nitride (SiN)” is a semiconductor material platform used for low-loss photonic waveguides.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“Stabilized Fiber Delay Line (SFDL)” is an optical component preserving phase stability and enabling temporal buffering for feedforward operations.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“Stitcher/Interconnect Layer” is a hardware subsystem responsible for assembling cluster states and routing quantum information across modules or racks.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“Superconducting Nanowire Single-Photon Detector (SNSPD)” is a cryogenic photon detector used in photonic state heralding applications.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“Superconducting Qubit” is a quantum computing modality using superconducting circuits cooled to millikelvin temperatures.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97" w:name="page98"/>
    <w:bookmarkEnd w:id="97"/>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“Thin-Film Lithium Niobate (TFLN)” is an electro-optic photonic material used for high-speed modulation and adaptive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“Trapped Ion” is a quantum computing modality using electromagnetically confined ions as qubits.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“Utility-Scale Quantum Computing (USQC)” refers to fault-tolerant quantum computing systems with hundreds to thousands of logical qubits capable of commercial relevance.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“Wafer-Scale Fabrication” is a semiconductor manufacturing approach producing devices across an entire wafer to enable scalable production.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leading quantum computing company developing full-stack quantum computing solutions for enterprise and government customers around the world.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mission is to build quantum computers that are useful and available to people everywhere. To achieve this, we are pursuing a full-stack strategy that integrates proprietary photonic quantum hardware with a modality-agnostic software platform. Our hardware platform, demonstrated through the Borealis and Aurora quantum computers, is designed to scale from today’s networked, modular systems toward large-scale fault-tolerant machines with hundreds of thousands of physical qubits and hundreds to thousands of logical qubits. At the same time, our software stack, anchored by PennyLane, has become one of the world’s most widely used quantum application development frameworks, enabling researchers, developers, and enterprises to program quantum circuits across all major modalities and cloud platforms.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quantum computing hardware is designed to solve problems that are intractable for classical computing. We are pioneering an approach to developing a scaled quantum computer that leverages light as the medium for computation, commonly referred to as the photonics modality. We believe that the photonics modality, and the use of individual particles of light, or photons, offers the most practical and scalable path to building universal, fault-tolerant quantum computers and, in particular, addresses the coherence problems impacting the scalability of competing matter-based modalities, such as superconducting, trapped ion, neutral atom, and other approaches.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quantum software includes our branded PennyLane software offering, which is our open-source Quantum Programming Software Development Kit (“SDK”), whereby commercial and government users can program, write and store quantum computing applications and algorithms for commercial, research, and training purposes. PennyLane is accessible via the web and integrates across modalities and with other quantum computing hardware players.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the first pure-play company to achieve quantum supremacy when in 2022 our 216-qubit Borealis system performed a computation on the cloud in two minutes that would have taken a world top 5 classical supercomputer, Fugaku, approximately seven million years. In 2025, our Aurora system became the world’s first networked, modular, and scalable photonic quantum computer, demonstrating real-time error detection and the interconnection of multiple photonic racks through optical fiber. We believe these milestones validate our technological leadership and mark critical steps toward commercially viable fault tolerant quantum computing.</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vision is to accelerate the world’s transition from classical to quantum computing by deploying photonic quantum systems in data centers, enterprises, and research institutions worldwide, with the goal of enabling breakthroughs in sustainability, medicine, materials, and artificial intelligence.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Quantum Computing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advances in semiconductor manufacturing and transistor scaling drove exponential growth in computing power and efficiency, classical computers now face fundamental physical limits in miniaturization, heat dissipation, and energy consumption. As a result, many of the world’s most important industrial and scientific problems, such as molecular simulation, new-materials discovery, and large-scale optimization, remain intractable for even the most powerful supercomputers.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quantum computing represents the next major technological revolution that can result in exponential improvements in computational power by leveraging the fundamental principles of quantum mechanics. Unlike classical bits, which represent information as 0 or 1, quantum bits (“qubits”) can exist in both states simultaneously, allowing quantum computers to explore a vastly larger computational space. This capability creates opportunities for solving problems that would take classical supercomputers millions of years. Importantly, the real economic potential of quantum computing lies not in today’s Noisy Intermediate-Scale Quantum (“NISQ”) systems, which remain largely ineffective, but in the emergence of utility-scale, fault-tolerant quantum computers capable of executing long, error-corrected computations with hundreds to thousands of logical qubits. We believe that these systems will mark the point at which quantum computing transitions from scientific curiosity to general-purpose technology.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photonic quantum computing, in particular, offers unique advantages in scalability, manufacturability, energy efficiency, and networkability. We view our technology as central not only to quantum computing but also to the broader quantum internet, sensing, and communications ecosystems, providing further adjacent potential monetization and market opportunities in addition to the core quantum computing hardware and software business solutions we are pursuing today.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strategy is to maintain leadership in photonic quantum computing through the simultaneous development of scalable hardware, modality-agnostic software, and strategic industry and government partnerships. We believe this integrated approach, spanning research, product development, and commercialization, positions us to capture value across the full quantum technology stack.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execute on our mission by pursuing the following key strategies:</w:t>
      </w:r>
    </w:p>
    <w:p>
      <w:pPr>
        <w:spacing w:after="0" w:line="221" w:lineRule="exact"/>
        <w:rPr>
          <w:sz w:val="20"/>
          <w:szCs w:val="20"/>
          <w:color w:val="auto"/>
        </w:rPr>
      </w:pPr>
    </w:p>
    <w:p>
      <w:pPr>
        <w:jc w:val="both"/>
        <w:ind w:left="660" w:hanging="328"/>
        <w:spacing w:after="0" w:line="25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Leadership in Photonics Technologies. </w:t>
      </w:r>
      <w:r>
        <w:rPr>
          <w:rFonts w:ascii="Times New Roman" w:cs="Times New Roman" w:eastAsia="Times New Roman" w:hAnsi="Times New Roman"/>
          <w:sz w:val="18"/>
          <w:szCs w:val="18"/>
          <w:color w:val="auto"/>
        </w:rPr>
        <w:t>We are pioneering a room-temperature computation, modular, and networked photonic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quantum architecture designed for scalability, manufacturability, and energy efficiency. Our technology uses photons, the fastest and most stable carriers of information currently available, to compute, communicate, and network quantum systems. By eliminating the need for cryogenic and laser cooling and enabling direct fiber-optic interconnects between quantum processors, we believe our photonic approach offers the most feasible and commercially scalable path to large, fault-tolerant quantum computers. Our Aurora system, launched in 2025, demonstrated the first known integration of the subsystems required for universal quantum computing using photonics, validating this architecture and providing a foundation for continued scaling.</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Rapidly Achieve Fault-Tolerant Utility-Scale Quantum Computing. </w:t>
      </w:r>
      <w:r>
        <w:rPr>
          <w:rFonts w:ascii="Times New Roman" w:cs="Times New Roman" w:eastAsia="Times New Roman" w:hAnsi="Times New Roman"/>
          <w:sz w:val="18"/>
          <w:szCs w:val="18"/>
          <w:color w:val="auto"/>
        </w:rPr>
        <w:t>We are advancing along a defined roadmap toward full fault-tolerant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quantum operation. Building on the success of our </w:t>
      </w:r>
      <w:r>
        <w:rPr>
          <w:rFonts w:ascii="Times New Roman" w:cs="Times New Roman" w:eastAsia="Times New Roman" w:hAnsi="Times New Roman"/>
          <w:sz w:val="18"/>
          <w:szCs w:val="18"/>
          <w:i w:val="1"/>
          <w:iCs w:val="1"/>
          <w:color w:val="auto"/>
        </w:rPr>
        <w:t>Borealis</w:t>
      </w:r>
      <w:r>
        <w:rPr>
          <w:rFonts w:ascii="Times New Roman" w:cs="Times New Roman" w:eastAsia="Times New Roman" w:hAnsi="Times New Roman"/>
          <w:sz w:val="18"/>
          <w:szCs w:val="18"/>
          <w:color w:val="auto"/>
        </w:rPr>
        <w:t xml:space="preserve"> and Aurora systems, our next-generation architecture is designed with a target to scale up to 100,000 physical qubits and up to 500 logical qubits in 2029-2030, potentially enabling us to be the “first mover” in delivering and deploying commercially valuable quantum computing capabilities to enterprise and government customers at scale. Achieving this milestone could enable quantum advantage in commercially meaningful use cases across chemistry, materials science, optimization, and artificial intelligence.</w:t>
      </w:r>
    </w:p>
    <w:p>
      <w:pPr>
        <w:spacing w:after="0" w:line="186"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combines high-connectivity photonic architectures with GKP photonic qubits and real-time quantum low-density parity-check (“qLDPC”) error correction, allowing for distributed networking between quantum processing modules while maintaining high-fidelity quantum gates. We believe this combination provides a 10-to-100-fold reduction in error-correction overhead compared to competing modalities such as superconducting circuits, trapped ions, or neutral atoms.</w:t>
      </w:r>
    </w:p>
    <w:p>
      <w:pPr>
        <w:spacing w:after="0" w:line="179"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leveraging the stability, speed, and manufacturability of photonic qubits, and integrating real-time error-correction codes directly into our hardware and compiler stack, we believe we are positioned to deliver one of the first practical, fault-tolerant quantum computers capable of addressing real-world industrial challenges.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jc w:val="both"/>
        <w:ind w:left="660" w:hanging="328"/>
        <w:spacing w:after="0" w:line="268"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Leadership in the Quantum Software Ecosystem with PennyLane. </w:t>
      </w:r>
      <w:r>
        <w:rPr>
          <w:rFonts w:ascii="Times New Roman" w:cs="Times New Roman" w:eastAsia="Times New Roman" w:hAnsi="Times New Roman"/>
          <w:sz w:val="18"/>
          <w:szCs w:val="18"/>
          <w:color w:val="auto"/>
        </w:rPr>
        <w:t>Our open-source software platform, PennyLane, is 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world’s leading environments for quantum application development. PennyLane enables seamless integration of quantum and classical computing frameworks and, as a hardware-agnostic ecosystem, is able to serve as a front-end operating system for quantum hardware worldwide.</w:t>
      </w:r>
    </w:p>
    <w:p>
      <w:pPr>
        <w:spacing w:after="0" w:line="174"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fostered broad academic and industrial adoption of PennyLane across more than 120 universities and numerous enterprise partners. PennyLane is now widely taught in post-secondary curricula and used by researchers and developers working on all major quantum modalities, including those of our competitors.</w:t>
      </w:r>
    </w:p>
    <w:p>
      <w:pPr>
        <w:spacing w:after="0" w:line="17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widespread adoption positions us to capture long-term value through the development of an enterprise version of PennyLane and complementary quantum-classical workflow tools. As users mature from research to commercialization, we expect that their applications, algorithms, and workloads will naturally migrate toward our photonic hardware, where performance, scalability, and fidelity are highest. In this way, we believe that PennyLane will act as both an industry platform and a strategic channel, driving users, developers, and enterprise applications back to our quantum computing systems and cloud platform.</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Vertical Integration. </w:t>
      </w:r>
      <w:r>
        <w:rPr>
          <w:rFonts w:ascii="Times New Roman" w:cs="Times New Roman" w:eastAsia="Times New Roman" w:hAnsi="Times New Roman"/>
          <w:sz w:val="18"/>
          <w:szCs w:val="18"/>
          <w:color w:val="auto"/>
        </w:rPr>
        <w:t>We are the only pure-play quantum computing company that develops and controls the complete technology stack,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photonic quantum hardware to the leading open-source software ecosystem and proprietary algorithms. This vertically integrated approach enables tight alignment between hardware innovation, software development, and application performance, ensuring that improvements at one layer immediately translate into measurable gains across the system. By uniting hardware design, software compilation, and domain-specific algorithm development within a single organization, we believe we can accelerate time-to-market, reduce dependency on third parties, and create durable competitive advantages that have yet to be replicated elsewhere in the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operates in a single operating and reportable segment and manages segment performance and resource allocation based upon consolidated net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Monetize Through a Full-Stack Quantum Computing Model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model is designed to capture value across the entire quantum technology stack, spanning hardware, software, and application development. We intend to generate revenue through multiple, complementary channels that reflect the breadth of our full-stack approach. We are in a pre-commercial stage and, to date, we have not achieved sustained commercial revenue from the sale or deployment of utility-scale quantum computers. Our PennyLane software platform is primarily distributed as an open-source offering and is widely used for research, education, and early-stage application development. While we currently derive limited revenue from services, sponsored research, and early-stage commercial engagements associated with PennyLane and related software tooling, such revenues are not yet material and we do not currently generate recurring subscription revenue from PennyLane. We expect any material software or hardware revenues to be contingent on the successful commercialization and broader adoption of fault-tolerant quantum computing systems in the future.</w:t>
      </w:r>
    </w:p>
    <w:p>
      <w:pPr>
        <w:spacing w:after="0" w:line="188" w:lineRule="exact"/>
        <w:rPr>
          <w:sz w:val="20"/>
          <w:szCs w:val="20"/>
          <w:color w:val="auto"/>
        </w:rPr>
      </w:pPr>
    </w:p>
    <w:p>
      <w:pPr>
        <w:jc w:val="both"/>
        <w:ind w:left="660" w:hanging="328"/>
        <w:spacing w:after="0" w:line="26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Sharing and Co-Development of Intellectual Property: </w:t>
      </w:r>
      <w:r>
        <w:rPr>
          <w:rFonts w:ascii="Times New Roman" w:cs="Times New Roman" w:eastAsia="Times New Roman" w:hAnsi="Times New Roman"/>
          <w:sz w:val="18"/>
          <w:szCs w:val="18"/>
          <w:color w:val="auto"/>
        </w:rPr>
        <w:t>We collaborate with strategic partners to design, test, and validate quantum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algorithms on our photonic quantum computers. These collaborations generate valuable intellectual property, for which we expect to participate in revenue sharing and downstream commercialization rights as quantum computing matures.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Quantum Compute Access: </w:t>
      </w:r>
      <w:r>
        <w:rPr>
          <w:rFonts w:ascii="Times New Roman" w:cs="Times New Roman" w:eastAsia="Times New Roman" w:hAnsi="Times New Roman"/>
          <w:sz w:val="18"/>
          <w:szCs w:val="18"/>
          <w:color w:val="auto"/>
        </w:rPr>
        <w:t>We plan to offer on-demand and subscription-based access to our photonic quantum computers through major cloud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and direct enterprise integrations. This Quantum-Computing-as-a-Service (“QCaaS”) model provides scalable, secure access for customers seeking to explore or deploy quantum solutions without the complexity of on-premise systems.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both"/>
        <w:ind w:left="660" w:hanging="328"/>
        <w:spacing w:after="0" w:line="26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Dedicated System Sales for Secure or Sovereign Deployments: </w:t>
      </w:r>
      <w:r>
        <w:rPr>
          <w:rFonts w:ascii="Times New Roman" w:cs="Times New Roman" w:eastAsia="Times New Roman" w:hAnsi="Times New Roman"/>
          <w:sz w:val="18"/>
          <w:szCs w:val="18"/>
          <w:color w:val="auto"/>
        </w:rPr>
        <w:t>For customers with mission-critical, sensitive, or regulated workloads,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national governments, defense agencies, and enterprises with strict data-sovereignty requirements, we intend to sell and deploy dedicated photonic quantum computers directly into government or enterprise data centers. We expect to deliver these systems with ongoing maintenance, upgrade, and support services to help ensure long-term performance and security.</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PennyLane Commercialization: </w:t>
      </w:r>
      <w:r>
        <w:rPr>
          <w:rFonts w:ascii="Times New Roman" w:cs="Times New Roman" w:eastAsia="Times New Roman" w:hAnsi="Times New Roman"/>
          <w:sz w:val="18"/>
          <w:szCs w:val="18"/>
          <w:color w:val="auto"/>
        </w:rPr>
        <w:t>Building on PennyLane’s status as a leading true full-stack offering and open-source model that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exposure to all quantum modalities, we are developing a subscription-based enterprise version of the platform and accompanying developer tools. By combining open-source community leadership with commercial enterprise tools, we believe we can convert our broad user base into a high-margin, recurring revenue stream, complementary to our hardware, algorithm-development, and quantum-compute-access platforms. As a result, we believe PennyLane is positioned to be both the global standard for quantum programming and the commercial foundation for utility-scale quantum computing adoption.</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Application Development and Joint Ventures: </w:t>
      </w:r>
      <w:r>
        <w:rPr>
          <w:rFonts w:ascii="Times New Roman" w:cs="Times New Roman" w:eastAsia="Times New Roman" w:hAnsi="Times New Roman"/>
          <w:sz w:val="18"/>
          <w:szCs w:val="18"/>
          <w:color w:val="auto"/>
        </w:rPr>
        <w:t>We are co-developing proprietary quantum algorithms and applications with industrial partners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the automotive, aerospace, energy, materials, and semiconductor sectors. These projects are designed to validate early commercial use cases and generate intellectual property aligned with our hardware roadmap.</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Licensing: </w:t>
      </w:r>
      <w:r>
        <w:rPr>
          <w:rFonts w:ascii="Times New Roman" w:cs="Times New Roman" w:eastAsia="Times New Roman" w:hAnsi="Times New Roman"/>
          <w:sz w:val="18"/>
          <w:szCs w:val="18"/>
          <w:color w:val="auto"/>
        </w:rPr>
        <w:t>We intend to continue leveraging our innovations in integrated photonics, quantum-classical interfaces,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optical packaging for adjacent markets in classical datacom, sensing, and telecommunications. We currently supply a major defense contractor with our photonic integrated circuits (“PICs”) to support a U.S. government quantum-sensing program, marking one of the first real-world deployments of our photonic technology outside quantum computing. In parallel, our low-loss photonic packaging technology is exploring pilot projects with external partners, validating our performance advantages in classical communication environments. Additional licensing and royalty opportunities represent a significant near-term revenue opportunity that leverages our core competencies without diverting focus from our primary mission of building a utility-scale, fault-tolerant quantum computer.</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Adjacent Market Monetization Opportunities: </w:t>
      </w:r>
      <w:r>
        <w:rPr>
          <w:rFonts w:ascii="Times New Roman" w:cs="Times New Roman" w:eastAsia="Times New Roman" w:hAnsi="Times New Roman"/>
          <w:sz w:val="18"/>
          <w:szCs w:val="18"/>
          <w:color w:val="auto"/>
        </w:rPr>
        <w:t>In addition to our core full-stack quantum computing capabilities, our underlying photonics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resulting intellectual property portfolio has value for non-computing use cases, including the quantum internet, quantum communications, quantum sensing, and other adjacent end market and quantum technology use case opportunities. While our core strategic focus today remains building the world’s first fault-tolerant photonic quantum computer, we intend to pursue these adjacent market opportunities in the future to fully capitalize on the multiple uses and market demand for our photonics-based technology capabilities.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 with Governments to Build Sovereign Quantum Compute Capacity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actively partnering with federal governments in Canada and the United States to establish sovereign quantum computing and advanced manufacturing capabilities. We are collaborating on national strategies focused on securing domestic access to high-performance quantum infrastructure, developing local supply chains for photonic components, and cultivating a skilled quantum workforce.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initiatives align with the growing global emphasis on technological sovereignty and national security in advanced computing. Through these partnerships, we aim to ensure that the economic, scientific, and security benefits of quantum computing remain within trusted jurisdictions, while accelerating commercialization, industrial adoption, and workforce development at scale.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Foster Strategic Partnerships to Accelerate Adoption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collaborate with a global network of partners, including Fortune 500 enterprises, government agencies, and research institutions, to accelerate quantum readiness and application development. Current collaborations include leading organizations such as Volkswagen, Toyota, Mitsubishi Chemical, Rolls-Royce, Raytheon Technologies, Corning, as well as national laboratories in Canada, the United States, and Europe. These partnerships are designed to co-develop quantum algorithms, validate commercial use cases, and ensure that our technology is aligned with real-world demand.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this multi-pronged strategy, combining photonic hardware leadership, dominant software adoption, sovereign compute partnerships, and global industry collaborations, we aim to deliver practical, fault-tolerant quantum computing and to establish ourselves as a global leader in the quantum technology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Utility-Scale Quantum Computing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at an Inflection Point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first generation of commercially relevant quantum applications, simulation, optimization, and machine learning, represent only the “low-hanging fruit” of a much broader technological revolution. Current use cases correspond to the earliest, most obvious problems addressable by a new computational paradigm, and many future quantum applications have not yet been discovered. Analysts and industry leaders anticipate that as utility-scale quantum computers become accessible, they will unlock problem classes and industries not currently imaginable, giving rise to an entirely new wave of scientific and economic growth.</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NISQ devices have advanced algorithmic research and workforce development, their computational limits constrain commercial value. Consensus across major analyst houses, including IDC, S&amp;P 451 Research and Capgemini Research Institute, is that broader market opportunity will begin with the arrival of utility-scale, fault-tolerant systems. In the near term, IDC estimates that the aggregate customer spend portion will grow at a five-year CAGR (2023 – 2028) of 41.0% and reach approximately $8.9 billion by the end of 2028. This $8.9 billion estimate includes all revenue generated from quantum computing hardware, software, and cloud-based computing offerings. The Quantum Insider projects that this technology could generate approximately $877 billion in cumulative economic impact by 2035.</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Across these forecasts, NISQ systems are viewed as transitional; sustained commercial returns are expected only from large-scale, error-corrected quantum architectures capable of outperforming classical high-performance computers on real industrial workloads.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early commercial engagements reflect the breadth of the market opportunity we are pursuing. To date, our revenues have been derived primarily from professional services engagements, including applications development, proof-of-concept partnerships, sponsored research, and quantum education programs, as well as from compute access services provided through our QCaaS platform, with additional limited revenue from licensing and other activities. We view these engagements as early validation of commercial demand across a range of high-value industry verticals. As utility-scale, fault-tolerant quantum computing systems become commercially available, we expect the addressable market opportunity to expand significantly, with our PennyLane platform maturing into an enterprise subscription offering and our hardware systems enabling quantum advantage across the sectors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Chemicals &amp; Advanced Materials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Simulation of quantum-mechanical interactions, such as catalysts, interfaces, and high-performance alloys, remains a bottleneck for energy storage, green hydrogen, carbon capture, and next-generation materials. Utility-scale quantum systems are expected to enable accurate modeling of molecular and electronic structures that are intractable on classical machines, allowing rational design of new materials and chemicals.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Within the Chemicals &amp; Advanced Materials vertical, we have entered into commercial collaborations with Toyota Research Institute of North America (materials simulations and quantum sensing), Volkswagen Group (battery-materials quantum simulation), and the University of Toronto and Canada’s National Research Council.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i w:val="1"/>
          <w:iCs w:val="1"/>
          <w:color w:val="auto"/>
        </w:rPr>
        <w:t>Life Sciences &amp; Pharma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quantum-accurate modeling of molecular and biochemical systems holds promise to accelerate drug discovery, lead optimization, and target identification, while reducing attrition in R&amp;D pipelines. Fault-tolerant quantum computers can simulate complex molecular interactions, protein folding, and binding energies with unprecedented precision, enabling shorter development cycles and improved therapeutic efficacy.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Services &amp; Optimization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institutions rely heavily on stochastic simulation and large-scale optimization, areas where quantum algorithms can provide measurable efficiency gains. Potential use cases include portfolio construction, derivatives pricing, counterparty-risk estimation, insurance modeling, and supply-chain logistics.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gate-based fault-tolerant systems mature, these workflows could drive recurring enterprise demand through hybrid classical-quantum architectures delivered via QCaaS platforms.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Within the Financial Services&amp; Optimization vertical, we have entered into commercial collaborations with BMO Financial Group and Scotiabank to explore quantum-algorithm-based speed-ups in derivatives pricing, risk analysis, and market optimization, as well as with Multiverse Computing to advance quantum software applications in finance and optimization.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Utilities &amp; Industrial Optimization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Energy and industrial networks face increasingly complex scheduling, dispatch, and infrastructure-planning problems. Quantum optimization and simulation can improve the efficiency and resilience of grids, refineries, and logistics systems. Use cases include renewables integration, grid optimization, process design, and real-time industrial control.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Within the Energy, Utilities&amp; Industrial Optimization vertical, we have secured commercial collaborations with Volkswagen Group and the National Research Council of Canada to advance quantum simulation and optimization for next-generation battery materials and energy systems, as well as with the Korea Institute of Science and Technology to develop industrial quantum applications in clean energy and materials design.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Semiconductors, Electronics&amp; Photonics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device design and materials engineering become increasingly quantum-limited, involving defects, excitons, interfaces, and quantum-sensor behavior, quantum computing offers a direct path to accelerate R&amp;D. Simulating semiconductor and photonic structures at the quantum level can shorten development cycles for transistors, memories, sensors, lasers, and PICs.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collaborating with Mitsubishi Chemical to develop quantum algorithms that simulate the interaction of extreme-ultraviolet (“EUV”) light with photoresist materials used in advanced semiconductor lithography, aiming to improve the design and efficiency of next-generation chip fabrication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Other Quantum Systems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for a quantum computer to be economically relevant and capable of delivering measurable value to industry, it must meet the following core requirements:</w:t>
      </w:r>
    </w:p>
    <w:p>
      <w:pPr>
        <w:spacing w:after="0" w:line="162" w:lineRule="exact"/>
        <w:rPr>
          <w:sz w:val="20"/>
          <w:szCs w:val="20"/>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 universal gate set and implement continuous quantum error correction, enabling the reliable execution of long, deep computational circuits.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hundreds and eventually thousands of logical qubits, corresponding to millions of physical qubits depending on the encoding scheme.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3" w:name="page104"/>
    <w:bookmarkEnd w:id="103"/>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 billions of gate operations per computation with error rates below fault-tolerance thresholds to preserve computational accuracy.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at clock speeds at or exceeding MHz rates, allowing billions of operations per second.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Optically or electronically networked together, enabling distributed, fault-tolerant computation and effectively unlimited logical-qubit scaling through modular expansion.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Fabricated using reproducible, high yield processes suitable for industrial production and priced for deployment in data centers, enterprise environments, and sovereign compute facilities.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within practical energy, space, and cooling budgets, supporting efficient deployment alongside classical infrastructure.</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Meeting all of these criteria simultaneously remains a complex engineering challenge. Many existing hardware modalities can satisfy one or two of these conditions. For instance, matter-based systems require cryogenic cooling, ultra-high-vacuum environments, and complex microwave or laser control infrastructure. As qubit counts increase, these engineering demands and power requirements grow exponentially, creating severe scaling and cost constraints that limit their manufacturability and practical deployment. Single-photon architectures also require cryogenic cooling of the entire optical setup and rely on non-deterministic operations, where many attempted gates fail to produce useful outcomes. As a result, large-scale computation becomes inefficient and technically complex.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Photonic Architecture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architecture is built on multi-photon photonic qubits, incorporating GKP encoding and qLDPC codes for advanced error correction. Each processor is designed to connect to others through optical fiber, forming a modular and distributed quantum network that scales seamlessly to thousands of logical qubits.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multi-photon approach offers several intrinsic advantages that address the fundamental requirements for utility-scale quantum computing:</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photonic systems do not require cryogenic cooling for computation, dramatically reducing cost, size, and complexity.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Photons are the natural medium for data transmission, making photonic processors inherently modular and networkable through standard fiber-optic links.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Photonic gates can operate at MHz-to-gigahertz (“GHz”) rates, enabling the execution of billions of quantum gates per second, orders of magnitude faster than ion- or atom-based systems.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PICs can be fabricated using well-established semiconductor processes from the telecom and datacom industries, supporting wafer-scale, high-yield production.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at ambient conditions with no cryogenics, photonic systems consume less power and can be deployed in standard data-center environments.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This modular design, combined with room-temperature computation, high clock rates, and manufacturable photonic hardware, positions our platform as a credible and capital-efficient path toward utility-scale, fault-tolerant quantum computing.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Our USQC</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photonic architecture has been developed to help achieve utility-scale, fault-tolerant quantum computing, systems capable of executing commercially valuable workloads with billions of gates, thousands of logical qubits, and modular networked scalability. Our technology stack integrates advanced photonic hardware, GKP quantum information encoding, and real-time quantum error correction within a fully modular architecture suitable for data-center deployment.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Qubit Modality: Photonic GKP Qubits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core of our architecture is the use of photons as quantum information carriers, with each qubit encoded in a GKP state. This encoding stores information in the continuous position and momentum quadratures of an optical mode, forming a periodic lattice in phase space that naturally protects against small displacement errors and photon loss. This lattice structure provides an intrinsic layer of error resilience, reducing reliance on active correction and improving logical qubit stability.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GKP qubits support deterministic Gaussian operations, all Clifford gates, such as Hadamard, Phase, CNOT, and Pauli measurements (X, Y, Z) can be implemented using only linear optics, phase shifts, and homodyne detection, without the need for nonlinear materials or cryogenics. Full universal quantum computation is achieved by consuming ancillary GKP “magic” states to implement non-Clifford gates through measurement-based protocols such as Pauli Product Rotations and Measurements.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Computational Model: Measurement-Based Quantum Computing (“MBQC”)</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systems use MBQC, an architecture in which computation is performed not through sequential gate operations but through a series of controlled measurements on a large, pre-entangled quantum resource known as a cluster state.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key advantage of MBQC is scalability through time-domain multiplexing: the cluster can be extended temporally rather than spatially, meaning that increasing computational depth does not increase optical path length or photon loss. This approach enables long, complex computations to be performed with less fidelity degradation.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combined with our modular photonic networking, the MBQC model provides a deterministic and inherently scalable framework for constructing data-center-scale quantum systems composed of many optically interconnected processing racks, laying the groundwork for large-scale, distributed, fault-tolerant quantum computing.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 Hardware Architecture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architecture is organized into three modular and networkable subsystems, each deployable in standardized data-center racks and interconnected via optical fiber and leveraging existing silicon-based supply chain capabilities.</w:t>
      </w:r>
    </w:p>
    <w:p>
      <w:pPr>
        <w:spacing w:after="0" w:line="158" w:lineRule="exact"/>
        <w:rPr>
          <w:sz w:val="20"/>
          <w:szCs w:val="20"/>
          <w:color w:val="auto"/>
        </w:rPr>
      </w:pPr>
    </w:p>
    <w:p>
      <w:pPr>
        <w:jc w:val="both"/>
        <w:ind w:left="660" w:hanging="328"/>
        <w:spacing w:after="0" w:line="25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Qubit Factories (GBS Source + PNR + Refinery). </w:t>
      </w:r>
      <w:r>
        <w:rPr>
          <w:rFonts w:ascii="Times New Roman" w:cs="Times New Roman" w:eastAsia="Times New Roman" w:hAnsi="Times New Roman"/>
          <w:sz w:val="18"/>
          <w:szCs w:val="18"/>
          <w:color w:val="auto"/>
        </w:rPr>
        <w:t>The Qubit Factories serve as the photon-generation engines of our quantum computer,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producing high-quality GKP Bell pairs and GKP magic states that form the computational resources of the system. Integrated Gaussian Boson Sampling (“GBS”) chips generate multi-mode Gaussian states using on-chip squeezers, while photon-number-resolving (“PNR”) detectors, such as transition-edge sensors (“TES”) or superconducting nanowire detectors (“SNSPDs”), herald successful non-Gaussian state creation. This brief detection step is the only part of the process that does not occur at room temperature. The resulting states are then refined through adaptive linear optics and homodyne detection, which “breed” and multiplex the heralded photons to boost their squeezing quality and overall success probability.</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Stitcher/Interconnect Layer. </w:t>
      </w:r>
      <w:r>
        <w:rPr>
          <w:rFonts w:ascii="Times New Roman" w:cs="Times New Roman" w:eastAsia="Times New Roman" w:hAnsi="Times New Roman"/>
          <w:sz w:val="18"/>
          <w:szCs w:val="18"/>
          <w:color w:val="auto"/>
        </w:rPr>
        <w:t>The Stitcher or Interconnect Layer is responsible for assembling the large-scale GKP cluster state and routing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qubits between modules within our quantum architecture. It uses Stabilized Fiber Delay Lines (“SFDLs”) to preserve phase and polarization stability while also providing the buffering required for classical feed-forward operations. On-chip multiplexers (“MUX”) dynamically select the highest-quality states to be incorporated into the cluster lattice, improving consistent computational fidelity. Operating entirely at standard telecom wavelengths (~1550 nanometers), this layer takes advantage of mature optical-fiber technologies to enable low loss, modular interconnections between quantum processing racks, supporting scalable, distributed quantum computing.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5" w:name="page106"/>
    <w:bookmarkEnd w:id="105"/>
    <w:p>
      <w:pPr>
        <w:jc w:val="both"/>
        <w:ind w:left="660" w:hanging="328"/>
        <w:spacing w:after="0" w:line="259"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Quantum Processing Unit (“QPU”) and Decoder. </w:t>
      </w:r>
      <w:r>
        <w:rPr>
          <w:rFonts w:ascii="Times New Roman" w:cs="Times New Roman" w:eastAsia="Times New Roman" w:hAnsi="Times New Roman"/>
          <w:sz w:val="18"/>
          <w:szCs w:val="18"/>
          <w:color w:val="auto"/>
        </w:rPr>
        <w:t>The QPU forms the computational core of our system, executing the entanglement,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and real-time error correction required for quantum computation. In the optical layer, QPU chips complete the final stitching of incoming GKP states into the target graph structure and perform quadrature measurements via homodyne detection. The classical layer, implemented on dedicated Field-Programmable Gate Array and Application-Specific Integrated Circuit hardware, performs low latency decoding to correct errors in real time and maintain logical qubit fidelity.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Scalable and Manufacturable Architecture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architecture is designed to be scalable, manufacturable, and ready for industrial deployment, and for wafer-scale fabrication and modular assembly using integrated photonic chips produced in existing semiconductor foundries. The system computes at room temperature and using telecom wavelengths, so it can be deployed directly in conventional data-center environments without the need for cryogenic cooling or vacuum systems. Recent breakthroughs we published in Nature have demonstrated every major subcomponent required for universal, fault-tolerant operation, as well as the ability to scale indefinitely through a modular, fiber-networked architecture.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remaining engineering challenges are primarily in manufacturing optimization, specifically the continued reduction of photonic loss in semiconductor platforms to achieve higher device quality and yield, an area of active and ongoing progress through our fabrication partnerships.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Software Leadership for USQC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strategy for achieving USQC is equally dependent on our advanced software ecosystem as it is on our photonic hardware. Our leadership in this domain is defined by our pioneering, full-stack hybrid quantum — classical software architecture, centered on two key components: PennyLane and Catalyst. Together, these platforms bridge the gap between high-level algorithm design and low-level photonic hardware execution, addressing the unique compilation, control-flow, and scalability challenges inherent to fault-tolerant, measurement-based systems.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PennyLane, our open-source Quantum Programming SDK, established the paradigm of Quantum Differentiable Programming, a method that integrates quantum computing directly into modern machine learning workflows. The platform enables seamless interoperability with classical libraries, such as PyTorch, TensorFlow, and JAX, allowing researchers and developers to construct hybrid quantum — classical models for applications in quantum chemistry, materials science, and optimization. Internally, PennyLane serves as the primary tool for our own research and algorithm design efforts, where teams develop resource-efficient, application-specific algorithms tailored to the constraints of future fault-tolerant hardware. Externally, PennyLane has become one of the most widely adopted quantum SDKs globally, used by developers across academic institutions, national labs, and industrial R&amp;D groups on all major hardware platforms, including ion trap, superconducting, and photonic systems. This broad adoption positions PennyLane as the de facto standard for quantum application development and reinforces our leadership across the quantum software ecosystem.</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next level of the stack, Catalyst functions as our fault-tolerant quantum compiler, a Just-In-Time compilation framework that efficiently translates high-level quantum algorithms into hardware-specific machine instructions. Catalyst connects PennyLane’s high-level programming interface to the physical control layer of our photonic architecture. It performs hybrid compilation of both quantum and classical operations, unifying optimization loops, control logic, and measurement feedback into a single machine binary using Multi-Level Intermediate Representation and Low-Level Virtual Machine/Quantum Intermediate Representation technologies. This integration minimizes classical processing latency, an essential requirement for executing adaptive measurement-based computation at MHz clock rates. Catalyst also supports complex classical control flow, including conditional branching, loops, and feedforward logic, all of which are essential for MBQC and fault-tolerant error correction protocols. Through its multi-level intermediate representation, Catalyst provides a robust compilation pipeline that spans from high-level algorithms through the Quantum Error Correction layer and Discrete-Variable MBQC, down to the GKP MBQC layer where physical optical commands are executed.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software vision extends beyond programming and compilation; it defines the control intelligence that orchestrates large-scale photonic quantum systems. Our architecture is designed to manage the logical-to-physical mapping of thousands of operations, the scheduling of Pauli Product Measurements, and to determine the real-time homodyne measurement settings for each QPU.</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providing an open-source, high-performance, hybrid software stack, we aim to enable the global research community to accelerate the development of useful, resource-efficient quantum applications today, ensuring that when fault-tolerant systems become operational, a mature ecosystem of commercial algorithms and workflows will already exist. For us, software is not merely an interface layer; it is the intelligent control core that transforms photonic hardware into a practical, programmable, and scalable computational platform capable of delivering industrial-scale quantum utility.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Strategic Relationships and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and Institutional Partnerships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collaborate with governments and research agencies to build sovereign quantum computing capacity and domestic advanced-manufacturing ecosystems that strengthen national competitiveness and technological resilience. These partnerships provide co-funding for research and development, enable early procurement of quantum systems, and ensure that the economic and security benefits of quantum technologies remain within trusted jurisdictions.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received substantial support from both the United States and Canadian governments and have participated in projects funded by programs and agencies across Europe and the Asia-Pacific region. These collaborations span early-stage hardware development, photonic integration, and national quantum-infrastructure initiatives.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governments around the world increasingly recognize the strategic importance of sovereign compute capacity, we anticipate that this level of support will continue to grow, becoming an important driver of our roadmap toward delivering a USQC. Through these partnerships, we help ensure that trusted nations maintain access to secure, high-performance quantum technology while fostering regional innovation and supply-chain self-sufficiency.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Partnerships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strategy for achieving USQC is supported by a global network of strategic partnerships spanning hardware manufacturing, industrial applications, software ecosystems, and government collaborations. These relationships are designed to help de-risk our technological roadmap, accelerate commercialization, and validate the economic utility of quantum computing across multiple sectors.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hardware and manufacturing, we partner with leading semiconductor and photonics companies to address the scale, cost, and performance challenges associated with producing millions of high-quality quantum components. A key collaboration with Applied Materials focuses on co-developing the first 300 mm wafer-compatible process for superconducting transition edge sensors, a crucial step toward mass production of PNR detector channels required for utility-scale systems. With Corning, we are developing customized ultra-low-loss fiber interconnects to minimize optical losses in the modular, fiber-networked architecture demonstrated in our Aurora system. Collaborations with IMEC and SUNY target process development for next-generation Silicon Nitride (SiN) and Thin-Film Lithium Niobate (“TFLN”) photonic platforms, enabling smooth technology transfer from R&amp;D facilities to high-volume commercial foundries. HyperLight contributes expertise in TFLN component design to deliver ultra-fast, low-loss electro-optic switches essential for the Refinery and QPU subsystems. Together, these partnerships form the backbone of our scalable, cost-efficient manufacturing ecosystem, ensuring readiness for mass production.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the applications front, we work with major industrial partners to co-develop algorithms that demonstrate near-term and long-term quantum advantage, directly linking technical milestones to commercial value. With Volkswagen Group, we are developing quantum simulation workflows for X-ray Absorption Spectroscopy to model next-generation battery materials and degradation pathways, a cornerstone use case in sustainable energy technology. The Toyota Research Institute of North America partnership focuses on quantum sensing and optical response simulations, enabling the identification of optically addressable spin defects in two-dimensional materials, paving the way for new classes of quantum sensors. In collaboration with Mitsubishi Chemical Group, we are advancing EUV lithography simulations to improve photoresist performance at the nanoscale, potentially unlocking major efficiencies in semiconductor fabrication. Meanwhile, with Rolls-Royce, we are developing quantum fluid dynamics algorithms to model complex aerodynamic systems such as jet engines, extending our software capability into high-value aerospace and engineering applications. These collaborations help validate our USQC platform across diverse, high-impact industries, ensuring early alignment between hardware capability and real-world computational demand.</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software and ecosystem development, we maintain a leadership position through PennyLane and Catalyst, our open-source software stack that forms the industry standard for quantum programming and hybrid quantum — classical workflows. Our partnerships with major cloud providers such as Amazon Web Services help ensure PennyLane’s seamless integration into Braket, expanding access to the broadest range of quantum hardware and simulators while preserving hardware-agnostic interoperability. Collaborations with organizations like Quantinuum further our role in shaping quantum software standards, including shared compiler formats and runtime specifications for fault-tolerant quantum circuits. Additionally, our participation in programs with the U.S. Air Force Research Laboratory and the DARPA, specifically through the Quantum Benchmarking Initiative, provides critical external validation. These partnerships not only support technology maturation but also ensure our systems meet the stringent reliability and performance criteria expected of national and sovereign computing infrastructure.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Through this global ecosystem of partnerships, we are simultaneously advancing manufacturability, demonstrating commercial utility, and establishing the software and standards foundation for the next generation of fault-tolerant, photonic quantum computers.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process personal and other sensitive data. Accordingly, we are, or may in the future become, subject to numerous data privacy and security obligations, including federal, provincial, state, local, and foreign laws, regulations, guidance, and industry standards related to data privacy, security, and protection. Such obligations may include, without limitation, the Federal Trade Commission Act, the European Union’s General Data Protection Regulation 2016/679 (EU GDPR), the United Kingdom’s General Data Protection Regulation (UK GDPR), and Canada’s Personal Information Protection and Electronic Documents Act. Numerous states within the United States and provinces within Canada have also enacted data privacy laws, and such laws are being considered in additional jurisdictions. These and other laws to which we are, or may become, subject, such as various consumer protection laws, may require us to obtain consent for the collection, use, and disclosure of personal data (subject to limited exceptions), limit data collection to that which is necessary for identified purposes, ensure the accuracy and security of personal data, afford individuals with certain rights with respect to their personal data (e.g., right to access, correct, withdraw consent), and to publish statements that accurately and fairly describe how we handle personal data and choices individuals may have about the way we handle their personal data.</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there will continue to be new or changing laws, regulations, and industry standards concerning privacy, data protection, and information security proposed and enacted in the jurisdictions in which we and our customers operate. Such new or revised laws could directly impact our current and planned practices or business activities. They may also impact the computing services and software industry platforms and data providers we utilize, and thereby indirectly impact our business. Laws affording individuals expanded privacy protections and control over their personal data may require us to modify our data processing practices and policies, and to incur substantial costs and expenses in an effort to comply.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Risks Related to Our Business” for additional information about the data protection laws and regulations to which we are or may become subject and about the risks to our business associated with such laws and regulations.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laws and regulations in the jurisdictions in which we operate governing, among other things, solid and hazardous waste storage, treatment, transportation, and disposal, and remediation, response to and reporting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result in heightened regulatory enforcement, or require us to manufacture with alternative technologies and materials.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materially dependent on our ability to obtain, maintain, and enforce intellectual property rights, including patents, trade secrets, and proprietary know-how, as well as on our ability to secure and maintain licenses to third-party intellectual property and to enter into and perform under key commercial and government contracts.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intellectual property strategy emphasizes protecting core inventions while enabling strategic collaboration. We rely on a combination of the intellectual property protections afforded by patent, copyright and trademark laws in Canada and the United States and other jurisdictions. We also maintain trade secrets and proprietary designs across hardware and firmware layers. Our intellectual property spans North America, Europe, and Asia, with active patents and/or patent applications across the United States, Canada, Europe, China, Japan, Australia, Singapore, Taiwan, and India. Our portfolio covers a broad spectrum of technologies, including photonic quantum computing architectures, GKP state generation, GBS, quantum simulation methods, and quantum machine learning algorithms.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seek to protect our intellectual property rights through commercial contracts, including non-disclosure and invention assignment agreements with our employees and consultants and through royalty and licensing agreements with business partners and other third parties. We have accumulated a broad patent portfolio, both owned and exclusively licensed, across a range of technological fronts that relate to our systems and will continue to protect our inventions in Canada, the United States and other countries.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our global patent portfolio consists of 74 patent families, with 37 patents granted and 103 pending patent applications.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Dependence on Patents, Licenses, Industrial and Commercial Contracts, and Manufacturing Processes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party to co-development and collaboration agreements with a number of third parties, including universities, foundries, government laboratories, and private companies. Certain of these agreements impose financial and other obligations on us and may grant the counterparty rights in intellectual property developed under the collaboration. Our ability to commercialize our products may depend on our ability to negotiate and maintain favorable terms under these agreements.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materially dependent on contracts with government customers, including agencies of the Canadian federal government and the U.S. federal government, which have historically represented a significant portion of our revenues. These contracts are subject to termination for convenience, budgetary constraints, and other risks inherent in government contracting. See “Risk Factors — We rely on funding and financial contributions from contracts with the public sector, including the Canadian government and U.S. government.”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manufacturing processes for photonic integrated circuits and related components are dependent on specialized semiconductor foundry processes, certain of which are proprietary to our manufacturing partners. We do not currently own all of the intellectual property underlying these manufacturing processes, and our ability to scale production is contingent on maintaining access to these processes and on continued advances in photonic fabrication technology. See “Risk Factors — Risks Related to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not materially affected by seasonal factors. Demand for our quantum computing technology, software solutions, and professional services is driven primarily by research and development cycles, government funding programs, and enterprise procurement processes, none of which exhibit significant seasonal patterns. However, our quarterly revenues may fluctuate due to the timing of contract awards, milestone-based payments under government contracts, and the length of our sales cycles, particularly with respect to government and large enterprise customers. See “Risk Factors — Our quarterly revenues are hard to predict, and may not grow at the rates at which you expect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quantum computing systems incorporate a range of specialized components and materials, including PICs, superconducting transition edge sensors, photon-number-resolving detectors, optical fiber, electro-optic switches, and other advanced photonic and electronic components. We source these components from a limited number of specialized suppliers and manufacturing partners, including semiconductor foundries and photonics companies. We do not currently have long-term supply agreements with all of our suppliers, and certain critical components are available from only a small number of qualified sources.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prices of certain raw materials and components used in our systems, including specialty optical materials, silicon nitride, thin-film lithium niobate, and superconducting materials, may be subject to volatility driven by global supply and demand dynamics, geopolitical events, industry consolidation, and macroeconomic conditions, including inflation. Disruptions in the global semiconductor and photonics supply chains, including those resulting from geopolitical tensions in and around Taiwan and other regions, could adversely affect the availability and cost of components critical to our development and manufacturing activities. We are actively working to diversify our supply base and establish strategic partnerships with key suppliers to mitigate these risks; however, there can be no assurance that we will be successful in doing so. See “Risk Factors — We may face supply chain issues that could delay the introduction of certain of our products and negatively impact our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Capital Expenditures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fiscal years ended December 31, 2025, 2024 and 2023, our principal capital expenditures consisted of our R&amp;D roadmap, scaling our photonic integrated circuit fabrication processes, and building the modular quantum racks required for utility-scale systems, which amounted to $6.2 million, $4.8 million and $8.9 million in such fiscal years, respectively. In these fiscal years, our capital expenditures were primarily used to build out R&amp;D capabilities including various test, measure &amp; tooling setups, our advanced photonic packaging facility and investments in cryogenic equipment. To the extent the proceeds of the Business Combination and cash from our business activities are insufficient to fund future capital requirements, including potential future acquisitions, we may need to seek equity or debt financing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lease or otherwise have entered into arrangements to use facilities in Canada and the United States. Our corporate headquarters are located in Toronto, Ontario, Canada, where we lease approximately 48,000 square feet of combined office and nanophotonic facility space under an agreement that expires on September 30, 2032. Most of the facility is used for corporate offices, research and development, and design. In addition to our corporate headquarters, we also maintain an additional packaging and assembly facility in Toronto and an office in the United States to collaborate with semiconductor manufacturing partners and government stakeholders. We believe these facilities are adequate to meet our current ongoing needs and anticipate we will be able to obtain additional space as needed under commercially reasonable terms. We are not aware of, and do not anticipate, environmental issues that may affect our utilization of the facilities described in this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Old Xanadu had 281 employees, of which 277 were full-time employees, including 133 physicists and engineers working in quantum technology. We also engage a small number of consultants and contractors to supplement our permanent workforce. A majority of our employees are engaged in research and development and related functions, and hold advanced engineering and scientific degrees, including many from the world’s top universities.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experienced any work stoppages and maintain good working relationships with our employees. None of our employees are subject to a collective bargaining agreement or are represented by a labor union at this time.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align employee and shareholder interests, and increase the success of our company by motivating such individuals to perform to the best of their abilities and achieve our objectives.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Unless the context otherwise indicates, as used in this “Management’s Discussion and Analysis of Financial Condition and Results of Operations” (“MD&amp;A”), the terms “we,” “us,” “our,” “Xanadu,” the “Company” and similar terms refer to Xanadu Quantum Technologies Limited and its consolidated subsidiaries. The following MD&amp;A provides information which Xanadu’s management believes is relevant to an assessment and understanding of our results of operations and financial condition. The MD&amp;A should be read together with our unaudited interim condensed consolidated financial statements and the related notes as of and for the three month periods ended March 31, 2026 and 2025 (the “Condensed Consolidated Financial Statements”) and the consolidated financial statements for Xanadu and for Old Xanadu, as applicable, and related notes for the years ended December 31, 2025, 2024 and 2023 (the “Annual Financial Statements”) included in our Annual Report on Form 20-F (the “Annual Report”) filed with the U.S. Securities and Exchange Commission (“SEC”) and the Canadian Securities Administrators (the “CSA”) on April 9, 2026. This discussion may contain forward-looking statements based upon current expectations that involve risks and uncertainties. Our actual results may differ materially from those anticipated in these forward-looking statements, including those set forth under the section titled “Cautionary Note Regarding Forward-Looking Statements” in this MD&amp;A as a result of various factors, including those set forth under “Risk Factors”.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Xanadu’s Condensed Consolidated Financial Statements have been prepared in accordance with accounting principles generally accepted in the United States of America (“U.S. GAAP”) and the rules and regulations of the SEC for interim financial statements. All amounts are in U.S. dollars except as otherwise indicated. For more information about the basis of presentation of Xanadu’s financial statements, see Note 2 - Basis of Presentation within the Condensed Consolidated Financial Statements. This MD&amp;A is dated May 14, 2026 and was prepared with information available to this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Xanadu is a quantum technology company specializing in the design and development of photonic-based quantum computing systems and the platforms that support them. Our current offerings primarily consist of applications development and proof of concept partnerships but also include quantum computers accessible via the cloud, quantum development software, quantum simulators, and a suite of supporting tools and applications. Xanadu is currently in a pre-commercial stage and does not yet offer quantum computers available for commercial sale beyond those in the early stages of development. Leveraging our photonic technology, we aim to deliver scalable, fault-tolerant and commercially useful quantum computing solutions that operate at room temperature, are manufacturable using existing silicon processes and are already proven to be modular, networkable and scalable.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model focuses on providing customers with access to our quantum computing systems through cloud-based services, enabling quantum-computing-as-a-service (“QCaaS”), as well as offering related professional services to help organizations explore and implement quantum solutions. In addition to cloud access, we develop and distribute software frameworks that facilitate quantum algorithm development and integration into existing workflows. We collaborate with leading global organizations to explore applications in areas such as battery simulation and quantum machine learning.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an accumulated deficit of $228.3 million and $206.3 million, respectively. For the three months ended March 31, 2026 and 2025, we incurred net losses of $20.6 million and $12.2 million, respectively. We expect to incur additional operating losses as we continue our research and development (“R&amp;D”) activities and expand our commercial operations.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present, our customers are concentrated. One of our customers accounted for 72.0% of our revenue for the three months ended March 31, 2026. Four of our customers accounted for 75.0% of our revenue for the three months ended March 31, 2025. Our chief operating decision maker, our Chief Executive Officer, has determined that we operate in a single operating and reportable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3, 2025, Xanadu entered into a merger agreement (the “Agreement”) with Crane Harbor Acquisition Corp. (“SPAC”) and Xanadu Quantum Technologies Inc.(“Old Xanadu”). The merger (“Reverse Recapitalization”) closed on March 26, 2026 (the “Closing Date”). At Closing, Xanadu had three authorized classes of shares, multiple voting shares (“Class A Multiple Voting Shares”), subordinate voting shares (“Class B Subordinate Voting Shares”) and preferred shares (“Preferred Shares”) issuable in series, of which only Xanadu Class A Multiple Voting Shares and Xanadu Class B Subordinate Voting Shares were issued and outstanding.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proceeds from the Reverse Recapitalization were $301.6 million, which includes $275.0 million of Private Investment in Public Equity (“PIPE”) financing and $26.6 million from SPAC. The Company incurred $52.2 million in total costs related to the Reverse Recapitalization and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2026, we announced negotiations for up to C$390 million from the governments of Canada and Ontario to launch Project OPTIMISM and establish advanced semiconductor and photonic manufacturing infrastructure supporting Canada’s quantum supply chain. We expect to receive those funds over time as qualifying investments and R&amp;D activities occur.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we also announced significant new partnerships with AMD, Lockheed Martin, TELUS, and Fidelity Center for Applied Technology, advancing commercialization across defense, finance, and telecommunications.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Non-GAAP Metrics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monitor revenue, cash and cash equivalents, net loss and Adjusted EBITDA as key financial metrics to evaluate our business, measure our performance, identify trends affecting our business, formulate business plans, and make strategic decisions. The following table summarizes our financial performance for the three months ended March 31, 2026 and 2025 for these key metrics. For a detailed discussion of our results of operations, including further commentary on our revenue and net loss, see the sections entitled “- </w:t>
      </w:r>
      <w:r>
        <w:rPr>
          <w:rFonts w:ascii="Times New Roman" w:cs="Times New Roman" w:eastAsia="Times New Roman" w:hAnsi="Times New Roman"/>
          <w:sz w:val="18"/>
          <w:szCs w:val="18"/>
          <w:i w:val="1"/>
          <w:iCs w:val="1"/>
          <w:color w:val="auto"/>
        </w:rPr>
        <w:t>Components of Results of Operations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Results of Operations”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272,465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61,668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(20,604)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(12,205)</w:t>
            </w:r>
          </w:p>
        </w:tc>
      </w:tr>
      <w:tr>
        <w:trPr>
          <w:trHeight w:val="39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(13,882)</w:t>
            </w:r>
          </w:p>
        </w:tc>
        <w:tc>
          <w:tcPr>
            <w:tcW w:w="3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(10,643)</w:t>
            </w:r>
          </w:p>
        </w:tc>
      </w:tr>
    </w:tbl>
    <w:p>
      <w:pPr>
        <w:spacing w:after="0" w:line="60" w:lineRule="exact"/>
        <w:rPr>
          <w:sz w:val="20"/>
          <w:szCs w:val="20"/>
          <w:color w:val="auto"/>
        </w:rPr>
      </w:pPr>
    </w:p>
    <w:p>
      <w:pPr>
        <w:jc w:val="both"/>
        <w:ind w:left="34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and is not a standardized measure and might not be comparable to similar financial measures disclosed by other issuers. See “Net Loss and Non-GAAP Financial Measure Adjusted EBITDA” and “Results and Reconciliation of Non-GAAP Financial Measure Adjusted EBITDA”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currently in a pre-commercial stage and do not yet offer quantum computers available for commercial sale. Our primary activities are centered on the development of fault-tolerant, utility-scale photonic quantum computing systems. We consider our revenue as an indicator of technological viability on the path to commercial utility scale quantum computing. We are focused on our customer acquisition and retention efforts as we continue development of our full stack quantum computing offerings. While we are focused on revenue growth, we expect that in the near term, revenue will not be a reliable indicator of our performance, particularly from period-to-period, as we are still in the early stages of developing fault-tolerant, utility scale quantum computers and other products utilizing quantum technology that can be commercially successful at scale.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development project is the creation of a full-stack quantum computing solution that integrates proprietary photonic hardware with a modality-agnostic software platform. Our hardware progress is demonstrated through the Borealis and Aurora quantum computers. The software stack is anchored by PennyLane, a modality agnostic, open-source framework used by quantum application researchers globally. Our technical roadmap focuses on scaling networked, modular systems into large-scale, fault-tolerant machines. In 2022, our 216-qubit Borealis system achieved a milestone in quantum supremacy. In 2025, our Aurora system became the world’s first networked, modular photonic quantum computer, demonstrating real-time error detection.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architecture is currently designed with a target to scale to up to 100,000 physical qubits and up to 500 logical qubits in 2029-2030. Through fiscal 2026, we expect to achieve device performance improvement and early fault-tolerance building blocks. Through 2028, we will scale error-corrected operations and produce early error-corrected demonstrations. We have established a target of 2029-2030 to achieve the widely recognized threshold for broad-based capabilities in commercially valuable applications.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Operationally, we are subject to compliance with U.S. and Canadian foreign investment laws, including review by CFIUS and the Investment Canada Act and we will have to adhere to export controls on quantum computing technology and related software solutions. Please also refer to the section titled “Risk Factors” in our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cash and cash equivalents balance is a critical measure of our liquidity. We consider cash and cash equivalents to be an important measure for investors because it measures the amount of cash we have on hand for the significant capital expenditures required for research and development costs, scaling our infrastructure and technology and other business needs. Our cash and cash equivalents balance increased to $272.5 million as of March 31, 2026, from $16.2 million as of December 31, 2025, a net increase of $256.3 million. The increase is driven by proceeds received from the Reverse Recapitalization and PIPE transaction. Our cash and cash equivalents are generally held in interest-bearing accounts which generated $122 thousand and $751 thousand for the three months ended March 31, 2026 and 2025, respectively. Our reporting and functional currency is the U.S. dollar and our sources of funds are primarily denominated in U.S. dollars. A significant portion of our operations occur in Canada, subjecting our cash position and related interest income to foreign currency risk, primarily related to fluctuations between the U.S. dollar and the Canadian dollar. We are continuing to invest in our treasury strategy as we raise additional funding to support our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and Non-GAAP Financial Measure Adjusted EBITDA</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use net loss to assess our operating performance. In addition to net loss, we provide Adjusted EBITDA, which is a financial measure that is not required by or presented in accordance with U.S. GAAP. Management believes that this measure provides investors with an additional meaningful method to evaluate certain aspects of our results period over period. We define Adjusted EBITDA as net loss before interest expense, income tax expense (benefit), depreciation and amortization expense, stock-based compensation, change in the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Similar to revenue, while we use net loss and Adjusted EBITDA to measure our operating performance, we expect that in the near term, net loss and Adjusted EBITDA will not be reliable indicators of our performance, particularly from period-to-period, as we primarily focus on developing and readying our technology for commercial success. For additional information regarding Adjusted EBITDA and a reconciliation of Adjusted EBITDA to net loss, see the section entitled “- </w:t>
      </w:r>
      <w:r>
        <w:rPr>
          <w:rFonts w:ascii="Times New Roman" w:cs="Times New Roman" w:eastAsia="Times New Roman" w:hAnsi="Times New Roman"/>
          <w:sz w:val="18"/>
          <w:szCs w:val="18"/>
          <w:i w:val="1"/>
          <w:iCs w:val="1"/>
          <w:color w:val="auto"/>
        </w:rPr>
        <w:t>Results and Reconciliation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 Adjusted EBITDA</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Effective in the first quarter of 2026, the Company updated the definition of Adjusted EBITDA to exclude all “changes in fair value of financial instruments”. Previously, the Company’s definition only excluded the “change in fair value of warrant liabilities.” Management believes this broader exclusion provides a more consistent view of operating performance by removing non-cash market volatility across all financial instruments. There was no impact to Adjusted EBITDA for the quarter ended March 31, 2025 and the year ended December 31, 2025 as a result of this change, as the Company did not hold other financial instruments subject to fair value changes during that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Trends and Key Factors Affecting Operating Results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the section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as filed on April 9,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Milestones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dependent on our ability to demonstrate the technological feasibility of our products and services, as well as R&amp;D of our technology. These milestones include achieving further error correction overhead breakthroughs and concurrent integration of our software stack with performance hardware. In addition, we remain steadfast in our commitment to developing commercially valuable applications, including executing our next generation architecture which is designed to scale up to 100,000 physical qubits and up to 500 logical qubits, which we target achieving in 2029-2030. This anticipated timing reflects a prudent calibration of our technical milestones to ensure that our forthcoming deployments meet rigorous stability and performance standards essential for enterprise-grade integration.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Opportunities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growth depends in part on our ability to continue to successfully identify and enter into strategic partnership opportunities. We have historically entered into partnerships with major multinational companies, government agencies and academic organizations to help enhance our capabilities, improve operational efficiencies, increase supply chain resilience and expand our addressable market. We expect we will continue to explore and enter new academic and commercial partnership opportunities that we believe are complementary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User Acquisition and Retention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implementation of our monetization strategy is designed to capture value across the entire quantum technology stack. Our primary strategy for new customer acquisition is based on co-development and intellectual property creation, establishing deep commercial relationships with enterprises and governments focused on solving their most complex challenges. These collaborations are priced commensurate to the work required to complete them. As our applications move from classical simulation to commercial deployment, their workloads will be naturally directed toward our high-performance photonic hardware for which we expect revenue will be generated primarily through QCaaS, offering on-demand and subscription-based utilization of our photonic quantum computers via major cloud platforms and direct enterprise integrations.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hardware model is complemented by our market-leading software ecosystem, which we intend to monetize through subscription-based enterprise versions and sales of complementary quantum-classical workflow tools, thus converting our vast open-source user base into a recurring, high-margin software stream.</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customers requiring the highest security and data sovereignty, such as defense agencies, we plan to execute dedicated system sales of our physical quantum computers and the integrated software layer, complete with ongoing maintenance and support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Financing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successful implementation of our monetization strategy is contingent upon significant and sustained capital investment to achieve the necessary technological and commercial scale. We anticipate substantial capital expenditures in the coming years primarily directed toward accelerating our R&amp;D roadmap, scaling our photonic integrated circuit fabrication processes, and building the modular quantum racks required for utility-scale systems. Realizing our revenue will require material financial commitment to both hardware infrastructure development and the expansion of our scientific and commercial teams to support and service a global customer base. Our ability to secure adequate funding will be critical to achieving the scale necessary to transition from government grants and co-development revenue to consistent, high-volume compute economics.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Environment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Results of our operations have varied and may continue to vary based on the impact of changes in the domestic or global economy. Negative conditions in the general economy in Canada, the United States and abroad, including conditions resulting from changes in gross domestic product growth, inflation, interest rates, financial and credit market fluctuations, international trade relations and tariffs, pandemics, political turmoil, natural catastrophes, warfare, and terrorist attacks, could negatively affect our business, including progress toward the development of quantum computing.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currently in a pre-commercial stage and does not yet offer quantum computers available for commercial sale beyond those in the early stages of development. Our current revenue is generated through two primary channels: (i) professional services related to research projects, proof of concept development, and quantum education and (ii) compute and other services which includes provision of compute services, such as co-development and execution of quantum algorithms which may later be performed on the Company’s utility scale quantum computing systems, and provision, on a non-exclusive basis, via access to its photonic based-hardware, of QCaaS.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QCaaS revenue is recognized on a straight-line basis over the contract term. Professional services revenue is recognized based on completed milestones or hours and or costs incurred as appropriate. Revenue for partially completed milestones deemed probable of being met is recognized using an input measure based on actual labor hours incurred to date relative to total estimated labor hours required to complete the milestone. For fixed price milestone-based contracts, revenue is recognized based on the input measure noted above as control is expected to transfer over the period that the milestone is completed.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cost of revenue, R&amp;D, general and administrative, sales and marketing expenses, depreciation and amortization, and other operating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cost of pre-commercial revenue includes all direct and indirect expenses related to delivering our services and where applicable, the cost of building specialized quantum hardware. This encompasses personnel-related expenses, including stock-based compensation, direct manufacturing costs and overhead costs allocated to customer- facing functions. Depreciation and amortization of quantum systems and related software are excluded from cost of revenue. Due to our effort to concentrate only on revenue projects that are aligned with our core R&amp;D roadmap, these costs remain low as we incur only limited incremental costs over and above our planned R&amp;D spend to meet our revenue obligations to our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R&amp;D activities and include personnel-related costs, process development costs, chip fabrication costs, consulting fees, lab materials, software costs, cloud computing costs, and other related costs. R&amp;D expenses also include purchased hardware and software costs related to quantum computing systems constructed for research purposes that are not probable of providing a future economic benefit and have no alternate future use as well as costs associated with third party R&amp;D arrangements. Where tangible assets or software to be used in research and development activities is constructed by us or acquired, the costs are expensed as incurred unless those assets have an alternative future use. When assets with alternative future use are consumed in research and development activities they are recorded as research and development expenses. We expect an increase in R&amp;D expenditure as we continue to invest in advancing our technology and supporting ongoing product development efforts.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such as salaries, benefits, and stock-based compensation for employees, as well as overhead costs allocated to corporate, executive, finance, and other administrative functions. We expect these expenses to increase as we continue scaling our support functions to match business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of personnel-related expenses, including salaries, benefits and stock-based compensation for employees involved in sales and marketing activities, costs for direct advertising, marketing and promotional expenditures and allocated overhead costs for our sales and marketing functions. We expect to continue to make investments in sales and marketing to strengthen market presence and expand our customer base.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arise from depreciation and amortization of our property and equipment, such as our quantum computing systems, and intangible assets including patents and software over their estimated useful lives.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operating income, net, includes contributions from government, sponsorships of our community events and other transactional fees.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(expense) includes interest income earned on our cash deposits and interest expense and loan remeasurements on our long-term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fair value of earn-out share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Gain on fair value of earn-out share liabilities, is related to fair value adjustments from the valuation of our earn-out share liability.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interest income earned on our cash deposits, gain and losses on disposal of equipment and foreign exchange gain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5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percent changes based on unrounded numbers)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below)</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17,348</w:t>
            </w:r>
          </w:p>
        </w:tc>
        <w:tc>
          <w:tcPr>
            <w:tcW w:w="3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10,009</w:t>
            </w: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7,339</w:t>
            </w:r>
          </w:p>
        </w:tc>
        <w:tc>
          <w:tcPr>
            <w:tcW w:w="34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9,759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7,847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1,401</w:t>
            </w:r>
          </w:p>
        </w:tc>
        <w:tc>
          <w:tcPr>
            <w:tcW w:w="3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1,173</w:t>
            </w:r>
          </w:p>
        </w:tc>
        <w:tc>
          <w:tcPr>
            <w:tcW w:w="34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(4,139)</w:t>
            </w:r>
          </w:p>
        </w:tc>
        <w:tc>
          <w:tcPr>
            <w:tcW w:w="3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(4,128)</w:t>
            </w:r>
          </w:p>
        </w:tc>
        <w:tc>
          <w:tcPr>
            <w:tcW w:w="340" w:type="dxa"/>
            <w:vAlign w:val="bottom"/>
          </w:tcPr>
          <w:p>
            <w:pPr>
              <w:spacing w:after="0"/>
              <w:rPr>
                <w:sz w:val="20"/>
                <w:szCs w:val="20"/>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NM</w:t>
            </w:r>
            <w:r>
              <w:rPr>
                <w:rFonts w:ascii="Times New Roman" w:cs="Times New Roman" w:eastAsia="Times New Roman" w:hAnsi="Times New Roman"/>
                <w:sz w:val="14"/>
                <w:szCs w:val="14"/>
                <w:color w:val="auto"/>
              </w:rPr>
              <w:t>(1)</w:t>
            </w:r>
          </w:p>
        </w:tc>
      </w:tr>
      <w:tr>
        <w:trPr>
          <w:trHeight w:val="236"/>
        </w:trPr>
        <w:tc>
          <w:tcPr>
            <w:tcW w:w="59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59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(23,267)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(12,765)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(10,502)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w:t>
            </w: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(743)</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fair value of earn-out share liabilities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2,833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2,833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20"/>
                <w:szCs w:val="20"/>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0"/>
                <w:szCs w:val="20"/>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36"/>
        </w:trPr>
        <w:tc>
          <w:tcPr>
            <w:tcW w:w="59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92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(20,604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(12,205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(8,399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69</w:t>
            </w:r>
          </w:p>
        </w:tc>
        <w:tc>
          <w:tcPr>
            <w:tcW w:w="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3"/>
              </w:rPr>
              <w:t>)%</w:t>
            </w:r>
          </w:p>
        </w:tc>
      </w:tr>
      <w:tr>
        <w:trPr>
          <w:trHeight w:val="203"/>
        </w:trPr>
        <w:tc>
          <w:tcPr>
            <w:tcW w:w="59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comprehensive loss</w:t>
            </w: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(12,142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(8,679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w:t>
            </w: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by $2.1 million, or 305%, for the three months ended March 31, 2026 as compared to the three months ended March 31, 2025. The increase in revenue was primarily attributable to our advancement to Stage B of the U.S. Defense Advanced Research Projects Agency led program assessing and validating quantum computing system performance against standardized metrics.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increased by $64 thousand, or 129%, for the three months ended March 31, 2026 as compared to the three months ended March 31, 2025. The increase was primarily attributable to higher labor costs incurred in connection with the performance of our various service contracts.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percentage of total revenue, cost of revenue was 4% and 7% for the three months ended March 31, 2026 and 2025, respectively. These costs remain low as the revenue contracts the Company enters into are aligned with our underlying R&amp;D roadmap and only incremental costs to complete the performance obligations are included in cost of revenue.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$7.3 million, or 73%, for the three months ended March 31, 2026 as compared to the three months ended March 31, 2025. The increase was primarily driven by higher hardware utilization costs, specifically increased wafer consumption and process development costs, and higher payroll-related expenses, including stock-compensation, resulting from increased headcount. Research and development headcount increased by 25 full-time equivalent employees or 15%, as compared to the first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$7.8 million, or 410%, for the three months ended March 31, 2026 as compared to the three months ended March 31, 2025. The increase was primarily driven by higher professional fees, including legal, audit and advisory costs related to our Reverse Recapitalization and public offerings as well as higher payroll-related costs to support our operating as a public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$1.2 million, or 515%, for the three months ended March 31, 2026 as compared to the three months ended March 31, 2025. The increase was primarily driven by higher public relations, promotion and marketing costs related to our Reverse Recapitalization and public listings in the first quarter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$340 thousand, or 27%, for the three months ended March 31, 2026 as compared to the three months ended March 31, 2025 primarily due to an increase in test equipment and capitalized internal-use software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Net</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operating income, net increased by $4.1 million for the three months ended March 31, 2026 as compared to the three months ended March 31, 2025 primarily due to an increase in government grant and tax credits received, which was partially offset by a larger loss related to revaluations of the Company’s warrants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(expense), net decreased by $743 thousand, or 134%, for the three months ended March 31, 2026 as compared to the three months ended March 31, 2025. The decrease was primarily attributable to lower average cash balances throughout the first quarter of 2026 compared to the first quarter of 2025 as well as higher non-cash imputed interest expense related to the SIF Loan (as defined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Fair Value of Earn-out Share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gain on fair value of earn-out share liabilities of $2.8 million was recorded for the three months ended March 31, 2026. This gain is related to a fair value adjustment from the valuation of our earn out share liability, which declined from March 26, 2026 (closing of the Reverse Recapitalization) to March 31,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remained relatively flat for the three months ended March 31, 2026 as compared to the three months ended March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Summary of Quarterly Results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quarterly consolidated statements of operations data for each of the quarters indicated. The information for the quarters ended December 31, 2025 and December 31, 2024 has been derived from our audited annual consolidated financial statements. The information for each of the quarters has been prepared on an unaudited basis consistent with our audited annual consolidated financial statements and, in our opinion, includes all normal recurring adjustments necessary for the fair statement of the financial information contained in those statements. The following quarterly financial data should be read in conjunction with our annual consolidated financial statements and the related notes. These quarterly results are not necessarily indicative of our operating results for a full year or any future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except</w:t>
            </w:r>
          </w:p>
        </w:tc>
        <w:tc>
          <w:tcPr>
            <w:tcW w:w="1080" w:type="dxa"/>
            <w:vAlign w:val="bottom"/>
            <w:gridSpan w:val="3"/>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4"/>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June 30,</w:t>
            </w:r>
          </w:p>
        </w:tc>
        <w:tc>
          <w:tcPr>
            <w:tcW w:w="100" w:type="dxa"/>
            <w:vAlign w:val="bottom"/>
          </w:tcPr>
          <w:p>
            <w:pPr>
              <w:spacing w:after="0"/>
              <w:rPr>
                <w:sz w:val="16"/>
                <w:szCs w:val="16"/>
                <w:color w:val="auto"/>
              </w:rPr>
            </w:pPr>
          </w:p>
        </w:tc>
      </w:tr>
      <w:tr>
        <w:trPr>
          <w:trHeight w:val="24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(20,604)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(23,024)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(12,205)</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(12,932)</w:t>
            </w:r>
          </w:p>
        </w:tc>
      </w:tr>
      <w:tr>
        <w:trPr>
          <w:trHeight w:val="198"/>
        </w:trPr>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per share, basic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trend is reflective of our pre-commercial state. Given that we are focused on the longer-term value proposition of utility scale quantum computers, our short-term revenue is generated from strategic revenue arrangements with customers with whom we can co-develop quantum algorithms, validate commercial use cases, and ensure that our technology is aligned with real-world demand.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loss has generally demonstrated an upward trend over the previous eight fiscal quarters as well as on a year-over-year basis as we accelerate our R&amp;D efforts towards utility scale quantum computing. The increase in net loss is attributable to increases in operating expenses primarily for R&amp;D as we accelerate and upsize our wafer runs and expand our internal capabilities to process them along with continued development of the remainder of our software and hardware capabilities. We have also had increases in general and administrative and sales and marketing expense due to the Reverse Recapitalization and public offerings. Depreciation and amortization also contributed to the increase in operating expenses. These are partially offset by smaller increases in revenue and decreases in other income,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 ended March 31, 2026</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increased for the quarter ended March 31, 2026, primarily driven by our inclusion in the U.S. Defense Advanced Research Projects Agency led program assessing and validating quantum computing system performance against standardized metrics (the “DARPA QBI” program). Operating expenses increased reflecting higher R&amp;D spend as well as general and administrative spend related to our Reverse Recapitalization and stock exchange listings.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and Reconciliation of Non-GAAP Financial Measure Adjusted EBITDA</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supplement our historical consolidated financial statements which are prepared and presented in accordance with U.S. GAAP, we use Adjusted EBITDA, as described below, to understand and evaluate our financial and operating performance. We define Adjusted EBITDA as net loss before interest expense, income tax expense (benefit), depreciation and amortization expense, stock- based compensation, change in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 However, there are several limitations related to the use of Adjusted EBITDA as it reflects the exercise of judgment by our management about which expenses are excluded or included. Adjusted EBITDA should be considered in addition to, not as a substitute for or in isolation from, our financial results prepared in accordance with GAAP. In addition, our presentation of Adjusted EBITDA may be different from how such metric is used by other companies. The following charts provide unaudited reconciliations of U.S. GAAP-based financial measures to Adjusted EBITDA for the following periods presented.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i w:val="1"/>
          <w:iCs w:val="1"/>
          <w:color w:val="auto"/>
        </w:rPr>
        <w:t>Reconciliation of net loss to Non-GAAP Financial Measure Adjusted EBITDA for the three months ended March 31,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(20,604)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Excluding: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231F20"/>
              </w:rPr>
              <w:t>1,617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8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1,408</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811</w:t>
            </w:r>
          </w:p>
        </w:tc>
      </w:tr>
      <w:tr>
        <w:trPr>
          <w:trHeight w:val="256"/>
        </w:trPr>
        <w:tc>
          <w:tcPr>
            <w:tcW w:w="868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financial instruments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231F20"/>
              </w:rPr>
              <w:t>(1,938)</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868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8"/>
                <w:szCs w:val="18"/>
                <w:color w:val="auto"/>
              </w:rPr>
              <w:t xml:space="preserve">Interest (income) expense, net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231F20"/>
              </w:rPr>
              <w:t>190</w:t>
            </w:r>
          </w:p>
        </w:tc>
        <w:tc>
          <w:tcPr>
            <w:tcW w:w="3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57"/>
        </w:trPr>
        <w:tc>
          <w:tcPr>
            <w:tcW w:w="868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231F20"/>
              </w:rPr>
              <w:t>(20)</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w:t>
            </w:r>
          </w:p>
        </w:tc>
      </w:tr>
      <w:tr>
        <w:trPr>
          <w:trHeight w:val="277"/>
        </w:trPr>
        <w:tc>
          <w:tcPr>
            <w:tcW w:w="868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5,465</w:t>
            </w:r>
          </w:p>
        </w:tc>
        <w:tc>
          <w:tcPr>
            <w:tcW w:w="320" w:type="dxa"/>
            <w:vAlign w:val="bottom"/>
          </w:tcPr>
          <w:p>
            <w:pPr>
              <w:spacing w:after="0"/>
              <w:rPr>
                <w:sz w:val="24"/>
                <w:szCs w:val="24"/>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6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gain (loss) on the fair value of the warrant and earn-out share liabilities.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expense, net reflects the impact of interest earned on cash balances and non-cash interest expense relating to the SIF Loan.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net consists of foreign exchange gain (loss).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expenses include professional fees such as legal, consulting, and accounting fees incurred in connection with indirect costs related to the Reverse Recapitalization and public offerings.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Adjusted EBITDA loss has increased period-over-period by $3.2 million from $10.6 million for the quarter ended March 31, 2025, to $13.9 million for the quarter ended March 31, 2026. This trend reflects the acceleration of our core R&amp;D activities and strategic investments toward achieving utility-scale quantum computing. It also reflects higher ongoing general and administrative costs related to our Reverse Recapitalization and stock exchange listings. As we are in a pre-commercial phase with an ambitious technology roadmap, our Adjusted EBITDA loss is expected to continue to increase for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Company had cash and cash equivalents of $272.5 million and $16.2 million and net working capital of $270.2 million and $31.2 million, respectively. We anticipate that our long-term cash requirements and obligations will be met through a combination of operating cash flows, additional government funding, equity raises and additional indebtedness. This assessment is based on current internal forecasts and remains subject to changes in external and internal conditions. We have incurred recurring net losses and negative cash flows from operations since inception. As of March 31, 2026 and December 31, 2025, the Company had an accumulated deficit of $228.3 million and $206.3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0" w:name="page121"/>
    <w:bookmarkEnd w:id="12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we incurred net losses of $20.6 million and $12.2 million, and, the Company had net cash outflows from operating activities of $7.0 million and $16.3 million, respectively. We expect to incur additional operating losses and net operating cash outflows as we continue to expand our commercial operations and R&amp;D activities.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primary uses of cash and cash equivalents are to support the ongoing growth of our business, including funding our operations and capital expenditures. As of March 31, 2026, our total contractual obligations amounted to $22.7 million. The largest component of these obligations were purchase obligations related to our operating expenses of $11.4 million, all of which is due in less than one year. These amounts are mainly related to R&amp;D expenses that will be paid to our strategic suppliers. The remaining obligations consist of our operating lease payments for our Toronto offices totaling $8.6 million and repayments of debt related to our Regional Quantum Initiative Contribution Agreement (the “FedDev Loan”), by and between Xanadu and His Majesty the King in Right of Canada as represented by the Minister of Federal Economic Development Agency for Southern Ontario totaling $2.7 million both payable over the next seven years.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Significant cash resources are required to support our ongoing investments in R&amp;D, as well as the commercialization of our products. These cash outflows are predictable since we enter into contracts with our key suppliers that define costs at the outset. While the costs are significant, we do have the ability to scale our research operations up or down to the extent that our cash position allows. Conversely, our cash inflows are dependent on enterprise and government partners whose ability to enter into revenue arrangements with us may be subject to complex approval structures and funding constraints making our ability to generate operating cash inflows unpredictable. When we require additional funding, we will seek to secure such best-efforts funding from various sources, including equity or debt financing and government assistance and subsidies. If we raise additional capital through the issuance of equity securities or securities convertible into equity, shareholders will experience dilution, and such securities may have rights or preferences senior to those of the holders of Xanadu Class A Multiple Voting Shares and Xanadu Class B Subordinate Voting Shares. In the second quarter of 2026, the Company anticipates establishing a $300 million synthetic ATM facility (the “Program”), which would give the Company the flexibility to issue Class B Subordinate Voting Shares over time in private placements at its discretion, subject to applicable stock exchange approval in connection with the launch of the Program. The net proceeds are expected to be used to fund the continued development of our quantum computing technology roadmap. In the future, if we obtain additional funds through debt financing, we may be subject to limitations on its operations, through debt covenants or other restrictions. There can be no assurance that we will be able to raise additional capital when needed or under acceptable terms.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we have successfully completed equity financings in the past, there can be no assurance that equity offerings in the future will be successful. Our current SIF Loan (as discussed in more detail below) and FedDev Loan, which allow us to receive contributions up to C$40.0 million and C$3.75 million, respectively, contingent on our incurring defined eligible expenditures, provide additional funding for our R&amp;D projects. As of March 31, 2026, we have received C$36.0 million and C$3.4 million in contributions from the SIF Loan and FedDev Loan, respectively. On March 26, 2026, Xanadu successfully consummated its reverse recapitalization with SPAC and Old Xanadu and a concurrent PIPE investment. Gross proceeds from the Reverse Recapitalization were $301.6 million, which includes $275.0 million of PIPE financing and $26.6 million of cash on hand from SPAC. The Company incurred $52.2 million in total costs related to the Reverse Recapitalization and Private Investment in Public Equity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 Based on our current operating plan, management believes that the existing cash and cash equivalents will be sufficient to fund operations, research and development activities, and capital expenditure requirements for at least 12 months from the date our condensed consolidated financial statements are issued. We will continue to work with various funding sources to secure additional debt and equity financing and government assistance and subsidies, if required.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Government of Canada’s Strategic Innovation Fund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20, 2023, we entered into the Strategic Innovation Fund Agreement, by and between Old Xanadu and His Majesty the King in Right of Canada as represented by the Minister of Industry (the “Minister”), as amended on September 10, 2025 (the “SIF Loan”). The SIF Loan provides for a conditionally repayable contribution to support a C$177.8 million project for the development of photonic-based, fault-tolerant quantum computers (the “Project”). The contribution is for an amount up to the lesser of C$40.0 million or 23.13% of eligible supported costs. As of March 31, 2026, we have received C$36.0 million in total funding from SIF. As of March 31, 2026, we have received all funds except for C$4.0 million which we expect to receive in the second quarter of 2026.</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SIF Loan includes certain covenants requiring us to, among other things, support high-skilled jobs in Canada, collaborate with Canadian institutions and small and medium-sized Canadian-based enterprise, and invest in R&amp;D within Canada, maintain certain intellectual property rights and certain other customary covenants.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Repayment of the SIF Loan contribution can be accelerated upon an event of default (as defined in the SIF Loan), termination or upon a change of control (as defined in the SIF Loan) that has not been approved by the Minister. In the event the Minister does not provide consent to a change of control, the Minister may require immediate repayment of all disbursed funds. Furthermore, in such circumstances, we may elect to terminate the SIF Loan by paying an additional amount based on contributions disbursed to date.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SIF Loan expires on the later of March 1, 2048 or the date of the final repayment, other than certain provisions which survive for a period of three years following expiration. Conditional repayments, which are based on our future revenues, are scheduled to be made annually over a 20-year period commencing on April 30, 2028. As of March 31, 2026, we were in compliance with our obligations under the SIF Loan.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Contractual Obligations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our total contractual obligations amounted to $22.7 million, consisting primarily of purchase commitments of $11.4 million, the majority of which relates to our foundry partners, and operating lease commitments, totaling $8.6 million, of which $1.0 million is due within the next 12 months. Other than operating lease commitments, our cash requirements for fiscal year 2026 are expected to be driven mainly by operating expenses and continued investment in the development and advancement of our quantum computers.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financial assets including cash and accounts receivable that are recorded at amortized cost. Our financial liabilities, including accounts payable, accrued expenses and long-term debt which are recorded at amortized cost. We also have financial liabilities consisting of lease liabilities, as well as warrants which are carried at fair value. In connection with completion of the Reverse Recapitalization, issued and outstanding Xanadu warrants were exchanged for warrants to purchase Xanadu Class A Multiple Voting Shares or warrants to purchase Xanadu Class B Subordinate Voting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selected financial information</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231F20"/>
              </w:rPr>
              <w:t>2026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49"/>
        </w:trPr>
        <w:tc>
          <w:tcPr>
            <w:tcW w:w="58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319,040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248,436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1"/>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Assets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Total assets increased by $248.4 million, or 352%, to $319.0 million as of March 31, 2026 compared to total assets of $70.6 million as of December 31, 2025. The increase was primarily driven by proceeds from the Reverse Recapitalization and PIPE transaction. Gross proceeds from the Reverse Recapitalization were $301.6 million, which includes $275.0 million of PIPE financing and $26.6 million of cash on hand from SPAC. The Company incurred $52.2 million in total costs related to the Reverse Recapitalization and Private Investment in Public Equity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Non-current Financial Liabilities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Non-current Financial Liabilities consist of long-term lease liabilities and long-term debt, which remained relatively flat in the first quarter of 2026 as compared to the first quarter of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declare or distribute any cash dividends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Analysis of cash flows for the three months ended March 31, 2026 and 2025: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periods indicated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100" w:type="dxa"/>
            <w:vAlign w:val="bottom"/>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264,361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2,239</w:t>
            </w: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256,301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flow from operating activities are significantly affected by our business growth, primarily related to R&amp;D, sales and marketing, and general and administrative activities. Operating cash flows are also affected by working capital needs to support growth in personnel-related expenditures and fluctuations in accounts payable and other current assets and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and 2025, was $7.0 million and $16.3 million, respectively. The reduction in net cash used in operating activities is primarily driven by the Company receiving two rounds of grant receipts totaling C$20.7 million in the quarter. This impact is shown via the net cash inflow from accounts receivable and deferred grant income in the unaudited condensed consolidated statements of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3" w:name="page124"/>
    <w:bookmarkEnd w:id="123"/>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Non-cash charges, increased to $1.5 million for the three months ended March 31, 2026 from $2.5 million provided for the three months ended March 31, 2025. The primary driver was a $1.9 million gain in the three months ended March 31, 2026 related to the change in fair value of financial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and 2025 was $264.4 million and $2.2 million, respectively, with the increase primarily attributable to proceeds from the Reverse Recapitalization and PIPE transaction. Gross proceeds from the Reverse Recapitalization was $301.6 million, which includes $275.0 million of Private Investment in Public Equity (“PIPE”) financing and $26.6 million of cash on hand from SPAC. Total direct transaction costs related to the issuance of shares in connection with the Reverse Recapitalization were $36.7 million, consisting primarily of legal, accounting, advisory, and other professional fees. In addition to the direct costs, $1.4 million of total indirect transaction costs were paid by SPAC prior to the closing of the Reverse Recapitalization and PIPE transaction. These costs were recorded directly to accumulated deficit in the consolidated balance sheet as of March 31,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2026 was $528 thousand, compared to $1.8 million for three months ended March 31, 2025. This decrease is primarily attributable to a decrease in purchases of property and equipment and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the reported amounts of assets and liabilities and the disclosure of contingent assets and liabilities. Estimates are based on historical experience and other various assumptions management believes are reasonable at that time, the result of which form the basis for making judgments about the carrying values of assets and liabilities that are not readily apparent from other sources. Actual results and outcomes could differ materially from management’s estimates, judgment and assumptions.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sources of estimation uncertainty include: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derive revenue primarily from: (i) professional services related to research projects, proof of concept development, and quantum education and (ii) compute and other services which includes provision of compute services, such as co-development and execution of quantum algorithms on the Company’s quantum computing systems, and provision, on a non-exclusive basis, via access to its photonic based-hardware, of QCaaS.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for partially completed projects that are deemed probable of being met is recognized using an input measure based on actual labor hours incurred to date relative to total estimated labor hours required to complete the milestone. For fixed price milestone -based contracts, revenue is recognized based on this input measure as control is expected to transfer over the period that the milestone is completed. Total estimated labor hours are subject to management’s judgment and may be revised as projects progress. Significant changes to these estimates could result in material changes to expected revenue recognition patterns.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enter contracts that can include various combinations of products and services, which are generally capable of being distinct and accounted for as separate performance obligations. A contract’s transaction price is allocated to each distinct performance obligation based on their estimated standalone selling price. We determine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we determine standalone selling price by considering its overall pricing objectives and market conditions, including cost plus a reasonable margin. Significant pricing practices considered include our discounting practices, the value of the contracts, historical standalone sales, customer demographics, geographic locations, and the number and types of users within the contracts. This practice requires judgment from management and the use of alternative inputs could result in revenue recognition patterns that vary from those reported.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i w:val="1"/>
          <w:iCs w:val="1"/>
          <w:color w:val="auto"/>
        </w:rPr>
        <w:t>Materials and Supplies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Materials and supplies consist primarily of chip fabrication and other costs incurred for the purposes of our R&amp;D activities. These are carried at average cost and recorded in materials and supplies in the consolidated balance sheets then expensed when consumed if an alternative use exists. Otherwise, these costs are expensed when incurred. The assessment of these materials and supplies’ alternative use and the identification of costs directly incurred to fabricate the materials and supplies requires management judgment and is subject to the current R&amp;D roadmap. Changes in our internal technological roadmap or in industry assessments of these materials and supplies could result in changes to our expense recognition patterns.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fair value of equity-settled stock-based payments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account for stock-based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Equity-settled stock-based payments to employees and others providing similar services are recognized as stock-based compensation expense based on the fair value of the equity instruments at the grant date. We utilize the Black-Scholes model to determine the fair value of stock-based option awards. The Black-Scholes pricing model requires various subjective assumptions including the estimated fair value of the underlying shares and volatility. The assumptions used in calculating the fair value of stock-based payment awards represent management’s best estimates. These estimates involve inherent uncertainties and the application of management judgment. If factors change and different assumptions are used, our stock-based compensation expense could be materially different in the future. The estimates related to the fair-value of equity-settled stock-based payments affect the value of stock-based compensation reflected in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revenue forecasts used in accounting for the SIF Loan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SIF Loan is conditionally repayable according to a revenue-based formula. The debt arising from the SIF Loan was recorded at face value and will be amortized using the effective interest method, leading to the accrual of interest expenses over the estimated term of the SIF Loan. The amortization schedule is based on projected cash flows derived from our long-term revenue forecast, which is contingent upon the successful implementation of our monetization strategy as described in the section entitled “- </w:t>
      </w:r>
      <w:r>
        <w:rPr>
          <w:rFonts w:ascii="Times New Roman" w:cs="Times New Roman" w:eastAsia="Times New Roman" w:hAnsi="Times New Roman"/>
          <w:sz w:val="18"/>
          <w:szCs w:val="18"/>
          <w:i w:val="1"/>
          <w:iCs w:val="1"/>
          <w:color w:val="auto"/>
        </w:rPr>
        <w:t>Trends and Key Factors Affecting Operating Results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discussion of recent accounting pronouncements issued and adopted is included in Note 2 - Basis of Presentation and Summary of Significant Accounting Policies to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related party transactions resulting from the Reverse Recapitalization, see “ Item 7. Major Shareholders and Related Party Transactions in the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Current Share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31, 2026, our outstanding share capital consisted of 255,226,928 Xanadu Class A Multiple Voting Shares issued and outstanding, and 43,284,436 Xanadu Class B Subordinate Voting Shares issued and outstanding.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as of March 31, 2026, 157,960 warrants to purchase Xanadu Class B Subordinate Voting Shares outstanding. There were also 3,261,109 options to purchase Xanadu Class A Multiple Voting Shares and 43,976,507 options to purchase Xanadu Class B Subordinate Voting shares issued and outstanding.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May 14, 2026, our share capital consisted of 255,226,928 Xanadu Class A Multiple Voting Shares issued and outstanding and 43,284,411 Xanadu Class B Subordinate Voting Shares issued and outstanding.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as of May 14, 2026, there were 157,960 warrants to purchase Xanadu Class B Subordinate Voting Shares outstanding. There were also 3,261,109 options to purchase Xanadu Class A Multiple Voting Shares and 43,976,507 options to purchase Xanadu Class B Subordinate Voting shares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functional currency is the U.S. dollar. We undertake transactions denominated in various foreign currencies.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derivative arrangement to minimize the impact of these fluctuations in the exchange rates. We will periodically reassess our approach to managing our risk relating to fluctuations in currency rates.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we had Canadian denominated cash of $8.9 million and Canadian denominated net liabilities and loans payable of $39.5 million. The remaining amounts were denominated in U.S. dollars. Gains and losses arising upon translation of these amounts into U.S. dollars for inclusion in the consolidated financial statements are recognized in other income (expense), net in the statements of operations and comprehensive loss in the period in which they arise. A 5% weakening of the Canadian dollar versus the U.S. dollar, at March 31, 2026, would have increased the foreign exchange gain (loss) for the quarter by approximately $1.5 million while a 5% strengthening of the Canadian dollar would have increased our foreign exchange gain (loss) for the quarter by approximately $(1.5) million. This analysis assumes that all other variables remain constant.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rate risk is the risk arising from the effect of changes in prevailing interest rates on our financial instruments. Such exposure primarily involves our money market funds and time deposit accounts. The outstanding SIF Loan principal and interest amounts to be repaid are determined using a revenue-based formula and are capped at 150% of the principal amount. The FedDev loan is interest free and we are therefore not subject to interest rate risk with respect to these loans. It is management’s opinion that we are not exposed to significant interest rate risk, as we have no variable interest rate debt.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may expose us to concentration of credit risk include cash and accounts receivable. We maintain our cash and investments with high quality financial institutions, which, at times, may exceed federally insured limits. We perform periodic evaluations of relative credit standing of the financial institutions. With respect to accounts receivable, we monitor the credit quality of our customers and we have not yet experienced credit loss from accounts receivables. Management believes that we are not exposed to significant credit risk due to the financial strength of the depository institutions in which the cash is held.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Please see Item 5 and risk factors, including “We rely on funding and financial contributions from contracts with the public sector, including the Canadian government and U.S. government” within our 2025 20-F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inflation will have a general impact on our business in line with overall price increases, increases in the cost of borrowing, and operating in an inflationary economy. We cannot predict the timing, strength, or duration of any inflationary period or economic slowdown or its ultimate impact on the Company. If the conditions in the general economy significantly deviate from present levels and continue to deteriorate it could have a material adverse effect on our business, financial condition, results of operations and growth prospects.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72.0% of our revenues was attributable to one customer. For the three months ended March 31, 2025, 75.0% of our revenues were attributable to four customers, contributing 35%, 19%, 11%, and 10%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Xanadu intends to take advantage of the benefits of this extended transition period and, following the consummation of the reverse recapitalization, will be an emerging growth company (for the period described in the immediately succeeding paragraph) and will take advantage of the benefits of the extended transition period emerging growth company status permits. During the extended transition period, it may be difficult or impossible to compare Xanadu’s financial results with the financial results of another public company that complies with public company effective dates for accounting standard updates because of the potential differences in accounting standards used.</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Xanadu will remain an emerging growth company under the JOBS Act until the earlier of:</w:t>
      </w:r>
    </w:p>
    <w:p>
      <w:pPr>
        <w:spacing w:after="0" w:line="22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its total annual gross revenues are $1.235 billion or more.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the completion of this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issued more than $1.0 billion in non-convertible debt during the previous three years.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deemed to be a large accelerated filer.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executive officers and directors of the Company, and their ages as of March 31, 2026. Unless otherwise noted, the business address of each of the directors and executive officers of the Company is 777 Bay Street, Suite 2400 Toronto, Ontario M5G 2C8 Canada.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382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Residence</w:t>
            </w:r>
          </w:p>
        </w:tc>
        <w:tc>
          <w:tcPr>
            <w:tcW w:w="100" w:type="dxa"/>
            <w:vAlign w:val="bottom"/>
          </w:tcPr>
          <w:p>
            <w:pPr>
              <w:spacing w:after="0"/>
              <w:rPr>
                <w:sz w:val="21"/>
                <w:szCs w:val="21"/>
                <w:color w:val="auto"/>
              </w:rPr>
            </w:pPr>
          </w:p>
        </w:tc>
        <w:tc>
          <w:tcPr>
            <w:tcW w:w="33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r>
      <w:tr>
        <w:trPr>
          <w:trHeight w:val="257"/>
        </w:trPr>
        <w:tc>
          <w:tcPr>
            <w:tcW w:w="32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Christian Weedbrook</w:t>
            </w:r>
            <w:r>
              <w:rPr>
                <w:rFonts w:ascii="Times New Roman" w:cs="Times New Roman" w:eastAsia="Times New Roman" w:hAnsi="Times New Roman"/>
                <w:sz w:val="29"/>
                <w:szCs w:val="29"/>
                <w:color w:val="auto"/>
                <w:vertAlign w:val="superscript"/>
              </w:rPr>
              <w:t>(1)(6)</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Toronto, Ontario, Canada</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Trzupek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Redmond, Washington, United States</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Natalie Wilmore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Weston, Connecticut, United States</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Rafal Janik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Toronto, Ontario, Canada</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Laramée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Toronto, Ontario, Canada</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57"/>
        </w:trPr>
        <w:tc>
          <w:tcPr>
            <w:tcW w:w="32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Eliot Pence</w:t>
            </w:r>
            <w:r>
              <w:rPr>
                <w:rFonts w:ascii="Times New Roman" w:cs="Times New Roman" w:eastAsia="Times New Roman" w:hAnsi="Times New Roman"/>
                <w:sz w:val="29"/>
                <w:szCs w:val="29"/>
                <w:color w:val="auto"/>
                <w:vertAlign w:val="superscript"/>
              </w:rPr>
              <w:t>(3)(4)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Washington, District of Columbia, United States</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Glenda Dorchak</w:t>
            </w:r>
            <w:r>
              <w:rPr>
                <w:rFonts w:ascii="Times New Roman" w:cs="Times New Roman" w:eastAsia="Times New Roman" w:hAnsi="Times New Roman"/>
                <w:sz w:val="29"/>
                <w:szCs w:val="29"/>
                <w:color w:val="auto"/>
                <w:vertAlign w:val="superscript"/>
              </w:rPr>
              <w:t>(2)(3)(5)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 Altos Hills, California, United States</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2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Heidi Shyu</w:t>
            </w:r>
            <w:r>
              <w:rPr>
                <w:rFonts w:ascii="Times New Roman" w:cs="Times New Roman" w:eastAsia="Times New Roman" w:hAnsi="Times New Roman"/>
                <w:sz w:val="29"/>
                <w:szCs w:val="29"/>
                <w:color w:val="auto"/>
                <w:vertAlign w:val="superscript"/>
              </w:rPr>
              <w:t>(3)(5)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Arlington, Virginia, United States</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Michelle Reynolds</w:t>
            </w:r>
            <w:r>
              <w:rPr>
                <w:rFonts w:ascii="Times New Roman" w:cs="Times New Roman" w:eastAsia="Times New Roman" w:hAnsi="Times New Roman"/>
                <w:sz w:val="29"/>
                <w:szCs w:val="29"/>
                <w:color w:val="auto"/>
                <w:vertAlign w:val="superscript"/>
              </w:rPr>
              <w:t>(3)(4)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Cincinnati, Ohio, United States</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William (Bill) I. Fradin</w:t>
            </w:r>
            <w:r>
              <w:rPr>
                <w:rFonts w:ascii="Times New Roman" w:cs="Times New Roman" w:eastAsia="Times New Roman" w:hAnsi="Times New Roman"/>
                <w:sz w:val="29"/>
                <w:szCs w:val="29"/>
                <w:color w:val="auto"/>
                <w:vertAlign w:val="superscript"/>
              </w:rPr>
              <w:t>(3)(4)(5)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York, New York, United States</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Board.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to serve as a director in connection with the Business Combination.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Ms. Reynolds serves as Chair of the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Governance, Compensation and Nominating Committee. Ms. Dorchak serves as Chair of the Governance, Compensation and Nominating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Christian Weedbrook. </w:t>
      </w:r>
      <w:r>
        <w:rPr>
          <w:rFonts w:ascii="Times New Roman" w:cs="Times New Roman" w:eastAsia="Times New Roman" w:hAnsi="Times New Roman"/>
          <w:sz w:val="18"/>
          <w:szCs w:val="18"/>
          <w:color w:val="auto"/>
        </w:rPr>
        <w:t>Mr. Weedbrook is our founder and has served as the Chief Executive Officer and a member of the board of directors of 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Xanadu since September 2016 and as our Chairman and Chief Executive Officer since our incorporation in October 2025. Prior to Old Xanadu, Mr. Weedbrook was a postdoctoral research fellow at the Massachusetts Institute of Technology and the University of Toronto. Mr. Weedbrook has over a decade of industry, government and research experience in quantum computing. Mr. Weedbrook received a B.S. from the University of Queensland and a Ph.D. from the University of Queensland.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Mr. Weedbrook is qualified to serve on our Board because of his extensive experience in quantum computing and as our founder, Chief Executive Officer and board member.</w:t>
      </w:r>
    </w:p>
    <w:p>
      <w:pPr>
        <w:spacing w:after="0" w:line="15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Michael Trzupek. </w:t>
      </w:r>
      <w:r>
        <w:rPr>
          <w:rFonts w:ascii="Times New Roman" w:cs="Times New Roman" w:eastAsia="Times New Roman" w:hAnsi="Times New Roman"/>
          <w:sz w:val="18"/>
          <w:szCs w:val="18"/>
          <w:color w:val="auto"/>
        </w:rPr>
        <w:t>Mr. Trzupek has served as our Chief Financial Officer since January 2026. Prior to Xanadu, Mr. Trzupek served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for Imagination Technologies Group Limited, a semiconductor and software design company based in the United Kingdom since May 2022 to December 2025, and as the Chief Financial Officer of Core Scientific, Inc. (Nasdaq: CORZ), one of the largest digital asset mining infrastructure providers in North America, from September 2020 to April 2022. Prior to those roles, Mr. Trzupek served as the Chief Financial Officer of Premera Blue Cross, Washington’s leading health plan, from February 2019 to June 2020. Mr. Trzupek previously served as Group Vice President for Providence St. Joseph Health System, a not-for-profit faith-based health care provider, from November 2015 to February 2017, and various financial positions at Microsoft Corporation (Nasdaq: MSFT) from March 2007 to October 2014, a multinational technology company, including as General Manager of Finance and General Manager of Venture Integration, focusing on business planning for the company’s hardware products, including Xbox and Surface. Mr. Trzupek began his financial career at Intel Corporation (Nasdaq: INTC), where he served in various financial positions from June 1997 to March 2007, including as Senior Controller of Systems Materials and Manufacturing. Mr. Trzupek has also served as a board member for CaliberCos Inc. (Nasdaq: CWD), a private equity real estate investment firm, since May 2023, and has been a member of its advisory board since May 2019. Mr. Trzupek received his B.S. in chemical engineering from the University of Illinois Urbana-Champaign and an M.B.A. from the University of Chicago.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Natalie Wilmore. </w:t>
      </w:r>
      <w:r>
        <w:rPr>
          <w:rFonts w:ascii="Times New Roman" w:cs="Times New Roman" w:eastAsia="Times New Roman" w:hAnsi="Times New Roman"/>
          <w:sz w:val="18"/>
          <w:szCs w:val="18"/>
          <w:color w:val="auto"/>
        </w:rPr>
        <w:t>Ms. Wilmore has served as our Chief Legal Officer since January 2026. Prior to Xanadu, Ms. Wilmore served as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Deputy General Counsel and Corporate Secretary at Pagaya Technologies Ltd. (Nasdaq: PGY), a global financial services technology company using machine learning, a vast data network and a sophisticated AI-driven approach to provide comprehensive consumer credit and residential real estate products from April 2024 to January 2026, Senior Vice President, Assistant Corporate Secretary, and Associate General Counsel at TelevisaUnivision, Inc., a Spanish-language media company, from November 2022 to August 2023, Head of Corporate, Securities and Compliance, and Assistant Corporate Secretary at Skillz Inc. (NYSE: SKLZ), a mobile gaming platform, from April 2021 to November 2022, and Counsel, Securities and Corporate Governance, and Senior Attorney at International Business Machines Corporation (NYSE: IBM) (“IBM”), a provider of global hybrid cloud and AI, and consulting expertise from June 2017 to April 2021. Ms. Wilmore received a B.A. in politics and romance languages from New York University and a J.D. from New York University School of Law.</w:t>
      </w:r>
    </w:p>
    <w:p>
      <w:pPr>
        <w:spacing w:after="0" w:line="18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Rafal Janik. </w:t>
      </w:r>
      <w:r>
        <w:rPr>
          <w:rFonts w:ascii="Times New Roman" w:cs="Times New Roman" w:eastAsia="Times New Roman" w:hAnsi="Times New Roman"/>
          <w:sz w:val="18"/>
          <w:szCs w:val="18"/>
          <w:color w:val="auto"/>
        </w:rPr>
        <w:t>Mr. Janik has served as our Chief Operating Officer since July 2022, and previously as Head of Product from October 2019 to July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 Machine Learning Lead from April 2019 to October 2019. Prior to Xanadu, Mr. Janik served as Principal Data Scientist (North America) for VDM-Labs, an information technology consulting company, from January 2018 to April 2019, as an independent contractor for Adaxa Technology, a healthcare software company, from October 2016 to January 2018 and as a sole proprietor consultant from January 2012 to January 2018. Mr. Janik received a B.S. in physics from the University of Guelph and a M.S. in biophysics from the University of Guelph in 2008.</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Rebecca Laramée. </w:t>
      </w:r>
      <w:r>
        <w:rPr>
          <w:rFonts w:ascii="Times New Roman" w:cs="Times New Roman" w:eastAsia="Times New Roman" w:hAnsi="Times New Roman"/>
          <w:sz w:val="18"/>
          <w:szCs w:val="18"/>
          <w:color w:val="auto"/>
        </w:rPr>
        <w:t>Ms. Laramée has served as our Chief People Officer since January 2024, as the Head of Human Resources from January 2020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2024, and as Human Resources Consultant from September 2019 to January 2020. Prior to Xanadu, Ms. Laramée served as a sole proprietor human resources consultant from January 2018 to September 2019, as a member of the human resources department of the Ontario Securities Commission, a regulatory agency, from June 2017 to November 2017, and as a member of the human resources department of Mount Sinai Hospital (Sinai Health Systems), a medical organization, from June 2012 to September 2016. Ms. Laramée received an HBSc in biology and physiology from the University of Toronto and completed post-graduate courses in human resources management at Seneca College (Polytechnic).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Eliot Pence. </w:t>
      </w:r>
      <w:r>
        <w:rPr>
          <w:rFonts w:ascii="Times New Roman" w:cs="Times New Roman" w:eastAsia="Times New Roman" w:hAnsi="Times New Roman"/>
          <w:sz w:val="18"/>
          <w:szCs w:val="18"/>
          <w:color w:val="auto"/>
        </w:rPr>
        <w:t>Mr. Pence has served as a member of our Board since March 2026. Mr. Pence has served as Chief Executive Officer and Founder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Dominion Dynamics Inc., a defense firm working to establish sovereign capability in aerospace, autonomy, and command-and-control, since June 2025. Mr. Pence was also a co-founder of Supply Energetics, Inc., a manufacturer of energetic materials, since 2024, and served as General Partner at Tofino Capital, an early-stage investor in frontier market technology companies, since 2022. From 2024 to 2025, Mr. Pence served as the Chief Business Officer at Osmo Labs, PBC, an artificial intelligence company, and from 2022 to 2024, he served as the Chief Commercial Officer of Cambium Biomaterials, Inc., a defense technology company. Previously, he was the Head of International at Anduril Industries, Inc., a defense technology company that specializes in advanced autonomous systems, from 2018 to 2022, and a senior director at McLarty Associates, the Washington, DC-based advisory firm from 2013 to 2018. Mr. Pence currently serves on the U.S. Trade Representative’s Advisory Committee and the Yale University President’s Council on International Activities. Mr. Pence earned his M.A. from Yale University and his B.A. from the University of Victoria.</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Mr. Pence is qualified to serve as a member of our Board because of his extensive executive leadership and international operations experience.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Glenda Dorchak. </w:t>
      </w:r>
      <w:r>
        <w:rPr>
          <w:rFonts w:ascii="Times New Roman" w:cs="Times New Roman" w:eastAsia="Times New Roman" w:hAnsi="Times New Roman"/>
          <w:sz w:val="18"/>
          <w:szCs w:val="18"/>
          <w:color w:val="auto"/>
        </w:rPr>
        <w:t>Ms. Dorchak has served as a member of our Board since March 2026. Ms. Dorchak has spent over thirty years in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roles in the technology industry and since 2009 has served as a trusted advisor and board member to public and private technology companies. Her corporate executive experience includes IBM Corporation, where she held several general management positions over 22 years, Intel Corporation for five years as Vice President with positions including Chief Operating Officer Intel Communications Group and Group General Manager Broadband and Consumer Electronics Groups; and Spansion Inc., for three years as Executive Vice President and Global General Manager. She also served as Chief Executive Officer at Value America and Intrinsyc Software. Ms. Dorchak currently serves as an independent director on the boards of Global Foundries Inc. (Nasdaq: GFS) a semiconductor foundry company since May 2019 where she is the chair of the Nominating and Governance Committee and a member of the Audit and Risk Committee. Ms. Dorchak also previously served as an independent director on the boards of directors for Ansys Inc., (Nasdaq: ANSS), a software company, from July 2018 to July 2025, Wolfspeed, Inc. (NYSE: WOLF), a semiconductor company, from January 2020 to July 2025; Viavi Solutions Inc. (Nasdaq: VIAV), a network test, monitoring and assurance company, from November 2019 to October 2021, Mellanox Technologies Ltd. (Nasdaq: MLNX), a multinational supplier of computer networking products from June 2009 to April 2020, Quantenna Communications (Nasdaq: QNTA), a pioneer in high-performance Wi-Fi semiconductor solutions, from June 2018 to July 2019, Energy Focus, Inc. (Nasdaq: EFOI), a technology innovation leader in energy-efficient LED lighting solutions from July 2015 to February 2019, and Intrinsyc Technologies Corporation (TSX: ITC), a trusted provider of high-performance engineering, software, and IT solutions for government and commercial partner from July 2006 to November 2008.</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Ms. Dorchak is qualified to serve as a member of our Board because of her experience in technology and as an executive and director of public companies.</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Heidi Shyu. </w:t>
      </w:r>
      <w:r>
        <w:rPr>
          <w:rFonts w:ascii="Times New Roman" w:cs="Times New Roman" w:eastAsia="Times New Roman" w:hAnsi="Times New Roman"/>
          <w:sz w:val="18"/>
          <w:szCs w:val="18"/>
          <w:color w:val="auto"/>
        </w:rPr>
        <w:t>Ms. Shyu has served as a member of our Board since March 2026. Ms. Shyu has served as President and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Honorable Heidi Shyu, LLC, an aerospace and defense consulting company, since February 2025. Prior to Honorable Heidi Shyu, LLC, Ms. Shyu served as the Undersecretary of Defense for Research &amp; Engineering at the United States Department of Defense from July 2021 to January 2025, President and Chief Executive Officer of Heidi Shyu Inc., an aerospace and defense consulting company, from February 2016 to July 2021, Assistant Secretary of the United States Army for Acquisition, Logistics &amp; Technology and other roles with the United States Army, from 2010 to 2016, and prior to that, in various leadership roles at Raytheon Company, a defense contractor, and Hughes Aircraft Company, an aerospace and defense contractor. Ms. Shyu received her B.Sc. in Mathematics from the University of New Brunswick, an M.S. in Mathematics from the University of Toronto, an M.S. in Systems Science from the University of California, Los Angeles, an Engineer’s Degree from the University of California, Los Angeles and an Honorary Doctor of Science from the University of New Brunswick.</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Ms. Shyu is qualified to serve as a member of our Board because of her extensive experience in government, technology, strategy, and research and development.</w:t>
      </w:r>
    </w:p>
    <w:p>
      <w:pPr>
        <w:spacing w:after="0" w:line="1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Michelle Reynolds. </w:t>
      </w:r>
      <w:r>
        <w:rPr>
          <w:rFonts w:ascii="Times New Roman" w:cs="Times New Roman" w:eastAsia="Times New Roman" w:hAnsi="Times New Roman"/>
          <w:sz w:val="18"/>
          <w:szCs w:val="18"/>
          <w:color w:val="auto"/>
        </w:rPr>
        <w:t>Ms. Reynolds has served as a member of our Board since March 2026. Ms. Reynolds has served as Chief Accounting Officer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Treasurer, Vice President at Reddit, Inc. (NYSE: RDDT), a social media and online community platform, since August 2021. Prior to Reddit, Ms. Reynolds served as Director of Reporting and Consolidations and other positions at Snap Inc. (NYSE: SNAP), a technology and social media company, from April 2016 to August 2021, Group Manager of U.S. Corporate Accounting and other positions at Procter &amp; Gamble (NYSE: PG), a multinational consumer goods corporation, from December 2012 to April 2016, and in Assurance Services as a Certified Public Accountant at Ernst &amp; Young LLP from 2005 to 2012. Ms. Reynolds has also served as a member of the FASB Public Markets Advisory Committee at the Financial Accounting Standards Board since April 2025. Ms. Reynolds received a B.S. in Business in Accountancy from Miami University and is a Certified Public Accountant licensed in Ohio.</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Ms. Reynolds is qualified to serve as a member of our Board because of her extensive experience in finance, accounting, and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William (Bill) Fradin. </w:t>
      </w:r>
      <w:r>
        <w:rPr>
          <w:rFonts w:ascii="Times New Roman" w:cs="Times New Roman" w:eastAsia="Times New Roman" w:hAnsi="Times New Roman"/>
          <w:sz w:val="18"/>
          <w:szCs w:val="18"/>
          <w:color w:val="auto"/>
        </w:rPr>
        <w:t>Mr. Fradin served as Crane Harbor’s Chief Executive Officer and as a director until the Closing and has served as a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Board since March 2026. Mr. Fradin currently serves as Chief Executive Officer and as a director of Crane Harbor Acquisition Corp. II, a special purpose acquisition company. Mr. Fradin brings almost 20 years of finance experience, including expertise in mergers and acquisitions, private equity, venture capital, and special purpose acquisition companies. Mr. Fradin served as Executive Vice President of Osprey Technology Acquisition Corp., a blank check company, from 2019 to 2021, which successfully completed a $1.1 billion merger with BlackSky Technology (NYSE: BKSY) in September 2021. He also served as an Advisor for Juniper Industrial Holdings, Inc., leading its $1.9 billion merger with Janus International Group (NYSE: JBI) in June 2021. Additionally, he served as Chairman and Chief Executive Officer of Juniper II Corp., a blank check company, and advised Broadscale Acquisition Corp., a blank check company. Broadscale Acquisition Corp. and Juniper II Corp. did not complete business combinations and redeemed all outstanding Class A ordinary shares in December 2022 and October 2023, respectively. Since its formation in September 2016, Mr. Fradin has served as Co-Founder and Managing Director at HEPCO Capital Management. HEPCO is a private investment firm that sponsors capital investments in diverse business sectors, particularly real estate, private operating companies and financial investments. Previously, he was an Investment Professional at JLL Partners from 2007 to 2015, a middle market private equity firm. From June 2005 to June 2007, he was an investment banker at Merrill Lynch &amp; Co. Mr. Fradin holds an A.B. from Harvard College and an M.B.A. from the Wharton School of the University of Pennsylvania.</w:t>
      </w:r>
    </w:p>
    <w:p>
      <w:pPr>
        <w:spacing w:after="0" w:line="19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Mr. Fradin is qualified to serve as a member of our Board because of his extensive finance and SPAC experience, combined with his proven ability to originate and execute successful deals across various industries.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 and Other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Conflicts of interest are discussed in the section titled “Certain Relationships and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Penalties or Sanctions, Individual Bankruptcies and Corporate Cease Trade Orders and Bankruptcies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None of our directors or executive officers, and to the best of our knowledge, no shareholder that holds a sufficient number of securities to affect materially our control, has been subject to any penalties or sanctions imposed by a court relating to securities legislation or by a securities regulatory authority or has entered into a settlement agreement with a securities regulatory authority or been subject to any other penalties or sanctions imposed by a court or regulatory body that would likely be considered important to a reasonable investor making an investment decision.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None of our directors or executive officers, and to the best of our knowledge, no shareholder that holds a sufficient number of securities to affect materially our control, has, within the 10 years prior to the date of this prospectus, become bankrupt, made a proposal under any legislation relating to bankruptcy or insolvency, or become subject to or instituted any proceedings, arrangement or compromise with creditors, or had a receiver, receiver manager or trustee appointed to hold the assets of that individual.</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Except as disclosed herein, none of our directors or executive officers, and to the best of our knowledge, no shareholder that holds a sufficient number of securities to affect materially our control is, as at the date of this prospectus, or has been within the 10 years before the date of this prospectus: (a) a director, chief executive officer or chief financial officer of any company that was subject to an order that was issued while the director or executive officer was acting in the capacity as director, chief executive officer or chief financial officer; (b) 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 or (c) a director or executive officer of any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For the purposes of this paragraph, “order” means a cease trade order, an order similar to a cease trade order or an order that denied the relevant company access to any exemption under securities legislation, in each case, that was in effect for a period of more than 30 consecutive days.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Trzupek served as Chief Financial Officer of Core Scientific, Inc. from September 2020 to April 2022. In December 2022, Core Scientific, Inc. and certain of its affiliates filed voluntary petitions seeking relief under Chapter 11 of the United States Bankruptcy Code in the United States Bankruptcy Court for the Southern District of Texas. In January 2024, Core Scientific, Inc. emerged from bankruptcy having completed a reorganization pursuant to the United States Bankruptcy Code.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Ms. Dorchak served as a director of Wolfspeed, Inc. from January 2020 to July 2025. In June 2025, Wolfspeed, Inc. filed voluntary petitions for reorganization under the United States Bankruptcy Code in the United States Bankruptcy Court for the Southern District of Texas. In September 2025, Wolfspeed, Inc. emerged from Chapter 11 protection having completed a reorganization pursuant to the United States Bankruptcy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OBCA and the By-laws, we must hold our first annual meeting of shareholders within 18 months after the date on which we were incorporated, and after that must hold an annual meeting not later than 15 months after the last annual meeting at such time and place in or outside the Province of Ontario. Alternatively, a meeting of shareholders may be held entirely by one or more telephonic or electronic means or by any combination of in-person attendance and by one or more telephonic or electronic means unless the meeting is held entirely by means of a telephonic, electronic or other communication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Shareholder Ability to Call Shareholder Meetings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By-laws provide that meetings of the shareholders may be called by our Board at such time in each year as our Board may from time to time determine. In addition, under the OBCA, the holders of not less than 5% of the issued shares of a corporation that carry the right to vote at a meeting sought to be held may requisition that the directors call a meeting of shareholders for the purposes stated in the requisition. Upon receiving a requisition to call a meeting of shareholders, the directors must, within 21 days after receiving the requisition, call a meeting of shareholders to transact the business stated in the requisition unless a record date has been fixed for a meeting of shareholders and notice of the meeting has been given in accordance with the OBCA; our directors have called a meeting of shareholders and have given notice of the meeting in accordance with the OBCA; or the business of the meeting as stated in the requisition includes certain matters, including, but not limited to, a proposal the primary purpose of which is to enforce a personal claim or redress a personal grievance against the corporation or its directors, officers or security holders. If the directors do not call such a meeting within 21 days after receiving the requisition, any shareholder who signed the requisition may call the meeting. The corporation must reimburse the requisitioning shareholders for the expenses reasonably incurred by them in requisitioning, calling and holding the meeting unless the shareholders have not acted in good faith and in the interest of the shareholders of the corporation generally.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 Quorum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By-laws provide that a quorum of shareholders is present at a meeting of shareholders, provided that a quorum shall not be less than two Persons (as defined in the By-laws), if the holders of at least twenty-five percent (25%) of our shares entitled to vote at the meeting are present in person or represented by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OBCA, at any meeting of shareholders at which a quorum is present, any action that must or may be taken or authorized by the shareholders, except as otherwise provided under the OBCA, the Articles or the By-laws, may be taken or authorized by an “ordinary resolution,” which is a simple majority of the votes cast by shareholders voting shares that carry the right to vote at general meetings. The By-laws provide that every motion put to a vote at a meeting of shareholders will be decided by a show of hands unless a ballot is directed by the chair or demanded by any shareholder entitled to vote who is present in person or by proxy, or otherwise required by the OBCA. Votes by a show of hands or functional equivalent result in each person having one vote regardless of the number of shares such person is entitled to vote or the votes attaching to such shares. If voting is conducted by ballot, each person is entitled to the number of votes attaching the shares such person is entitled to vote.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 Consent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OBCA, shareholder action without a meeting may be taken by a resolution signed by all the shareholders or their attorney authorized in writing entitled to vote on that resolution at a meeting of shareholders. A written resolution of shareholders is as valid as if it had been passed at a meeting of those shareholders. A written resolution of shareholders dealing with all matters required by the OBCA to be dealt with at a meeting of shareholders, and signed by all the shareholders or their attorney authorized in writing entitled to vote on that resolution at that meeting, satisfies all the requirements of the OBCA relating to that meeting of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Books and Records and Dissemination of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must keep at our registered office, or at such other place as the OBCA may permit, the documents, copies, registers, minutes and other records which we are required by the OBCA to keep at such places. We must prepare and maintain, among other specified documents, adequate accounting records. Under the OBCA, any director, shareholder or creditor of ours may, free of charge, examine certain of our records during our usual business hours.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Canadian Securities Administrators (the “CSA”) have issued corporate governance guidelines pursuant to National Policy 58-201 — Corporate Governance Guidelines (the “CSA Corporate Governance Guidelines”), together with certain related disclosure requirements pursuant to National Instrument 58-101 — Disclosure of Corporate Governance Practices (“NI 58-101”). The CSA Corporate Governance Guidelines are recommendations respecting reporting issuer corporate governance, including the CSA’s recommendations on the composition of a company’s board of directors (or similar body for a non-corporate entity), director independence, board mandates and position descriptions for the board chair, committee chairs, and the CEO, orientation and continuing education, written codes of conduct or ethics, nomination of directors, compensation and regulator board assessments.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that good corporate governance plays an important role in our overall success and in enhancing shareholder value and, accordingly, have adopted certain corporate governance policies and practices in connection with the closing of the Business Combination, which reflect our consideration of the recommended CSA Corporate Governance Guidelines.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set out below includes disclosure required by NI 58-101 describing our approach to corporate governance in relation to our Corporate Governance Guidelines adopted upon completion of the Business Combination (the “Corporate Governance Guidelines”).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Appointment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Articles do not provide for the board of directors to be divided into classes.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meeting of our Shareholders at which directors are to be elected, a separate vote of our Shareholders entitled to vote will be taken with respect to each candidate nominated for director. Pursuant to the OBCA, any casual vacancy occurring on our Board may be filled by a quorum of the remaining directors, subject to certain exceptions. If we do not have a quorum of directors, or if there has been a failure to elect the number of directors required by the Articles or the OBCA, the directors then in office must forthwith call a special meeting of shareholders to fill the vacancy and, if the directors fail to call a meeting or if there are no directors then in office, the meeting may be called by any of our shareholders.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OBCA, where empowered by a special resolution, our directors may determine the number of directors to be elected at an annual meeting, which special resolution was adopted by us prior to completion of the Business Combination. In addition, where empowered by special resolution, between meetings of shareholders, our directors may appoint one or more additional directors, but the number of additional directors may not exceed one third times the number of directors required to have been elected at the last annual meeting of shareholders. For purposes of the OBCA, a special resolution is a resolution submitted to a meeting of shareholders duly called for the purpose of considering the resolution and passed at the meeting by at least two-thirds of the votes cast or consented to in writing by all shareholders entitled to vote at such a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OBCA, there are no director residency requirements. The minimum number of directors we may have is one and the maximum number of directors we may have is ten, as set out in the Articles. The OBCA provides that any amendment to the Articles to increase or decrease the minimum or maximum number of our directors requires the approval of our Shareholders by a special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Orientation and Continuing Education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closing of the Business Combination, our Board was provided an initial orientation and it is expected that our Board will implement an orientation program for new directors. The Governance, Compensation and Nominating Committee is responsible for developing and overseeing an orientation, education and training program for new directors and ongoing educational and training opportunities for all directors. Directors are encouraged to be involved in continuing director education on an ongoing basis to enable them to better perform their duties and to recognize and appropriately address issues that arise. The chair of each committee is responsible for coordinating orientation and continuing director development programs relating to the committee’s mandate.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Term Limits and Other Mechanisms of Board Renewal</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maintain a process of board renewal and succession planning. Our Board is committed to a process of board renewal and succession-planning for directors which seeks to bring fresh thinking and new perspectives to our Board while maintaining an appropriate degree of continuity and adequate opportunity for transition of board and committee roles and responsibilities. In accordance with the Corporate Governance Guidelines, a non-management</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director will not stand for re-election at the first annual meeting of shareholders after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date on which the director first began serving on the board; provided that, in special circumstances (including to facilitate orderly board renewal) and on the recommendation of the Governance, Compensation and Nominating Committee, a non-management director may continue to stand for re-election so long as the director continues to receive solid annual performance assessments and meets other Board policies or legal requirements for board service.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OBCA, our Shareholders may remove any director before the expiration of his or her term of office by ordinary resolution at an annual or special meeting of shareholders, provided that, where the holders of any class or series of our shares have an exclusive right to elect one or more directors, a director so elected may only be removed by an ordinary resolution at a meeting of the shareholders of that class or series. In that event, the shareholders may elect, by ordinary resolution, another individual as director to fill the resulting vacancy. For purposes of the OBCA, an ordinary resolution is a resolution submitted to a meeting of shareholders duly called for the purpose of considering the resolution and passed at the meeting by at least a simple majority of the votes cast or consented to in writing by all shareholders entitled to vote at such a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Proceedings of Board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all meetings of our Board, every question will be decided by a majority of the votes cast and, in the case of an equality of votes, the chair of the meeting will not have a second or casting vote. A resolution of the directors or of any committee of the directors consented to in writing by all of the directors entitled to vote on it is as valid and effective as if it had been passed at a meeting of the directors or of the committee of the directors duly called and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Conflicts of Interest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director who is a party to a material contract or transaction or proposed material contract or transaction with us, or is a director or an officer of, or has a material interest in, any Person (as defined in the By-laws) who is a party to a material contract or transaction or proposed material contract or transaction with us, must disclose in writing or request to have entered in the minutes of meetings of directors the nature and extent of such interest, and any such director shall not attend any part of a meeting of directors during which the contract or transaction is discussed and shall refrain from voting in respect thereof unless otherwise permitted by the OBCA.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no quorum exists for the purpose of voting on such a resolution only because a director is not permitted to be present at the meeting due to a conflict of interest, the remaining directors shall be deemed to constitute a quorum for the purposes of voting on the resolution. Directors are also required to comply with the relevant provisions of the OBCA regarding conflicts of interest. We have also adopted a related party transactions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Shareholder Nominations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By-laws and subject only to the OBCA, the Articles and applicable securities laws, our Shareholders of record entitled to vote are only able to nominate persons for election to our Board by providing proper notice to our corporate secretary, Natalie Wilmore. In the case of annual meetings, proper notice must be given not less than 30 days (or where notice and access is used for the delivery of applicable proxy related materials, 40 days) prior to the date of the annual meeting. However, in the event that the annual meeting of shareholders is to be held on a date that is less than 50 days after the date (the “Notice Date”) on which the first public announcement of the meeting was made, the notice must be given not later than the close of business on the 10th day following the Notice Date. In the case of a special meeting called for the purpose of electing directors and which is not also an annual meeting of our Shareholders, the notice must be given not later than the close of business on the 15th day following the date on which the first public announcement of the special meeting was made. Such notice must include, among other information, certain information with respect to each shareholder nominating persons for elections to our Board, a written consent of each nominee consenting to serve as our director, disclosure about any proxy, contract, arrangement, understanding or relationship pursuant to which the nominating shareholder has a right to vote our shares and any other information we may reasonably require to determine the eligibility of the nominee to serve as our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Amalgamations, Mergers and Other Corporate Transactions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OBCA, certain corporate actions, such as: (i) amalgamations (other than with certain affiliated corporations); (ii) continuances; (iii) sales, leases or exchanges of all, or substantially all, the property of a corporation other than in the ordinary course of business; (iv) reductions of stated capital for any purpose, including in connection with the payment of special distributions (subject, in certain cases, to the satisfaction of solvency tests); and (v) other actions such as liquidations, or arrangements, must be approved by a special resolution of our Shareholders.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certain specified cases where share rights or special rights may be prejudiced or interfered with, a special resolution of shareholders to approve the corporate action in question affecting the share rights or special rights, is also required to be approved separately by the holders of a class or series of shares, including a class or series of shares not otherwise carrying voting rights. In specified extraordinary corporate actions, such as approval of plans of arrangements and amalgamations all shares have a vote, whether or not they generally vote and, in certain cases, have separate class votes.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Director Liability, Indemnification of Directors and Officers and Insurance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OBCA, no provision in a contract, the articles or the by-laws of a corporation or a resolution relieves a director or officer from the duty to act in accordance with the OBCA and its related regulations or relieves him or her from liability for a breach of the OBCA or its regulations.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director is not liable under the OBCA for certain acts if the director exercised the care, diligence and skill that a reasonably prudent person would have exercised in comparable circumstances, including reliance, in good faith, on (i) financial statements of the corporation represented to the director by an officer of the corporation or in a written report of the auditor of the corporation to fairly reflect the financial position of the corporation in accordance with generally accepted accounting principles; (ii) an interim or other report of the corporation represented to the director by an officer of the corporation to fairly reflect the financial position of the corporation in accordance with generally accepted accounting principles; (iii) a report or advice of an officer or employee of the corporation, where it is reasonable in the circumstances to rely on the report of advice; or (iv) a report of a lawyer, accountant, engineer, appraiser or other person whose profession lends credibility to a statement made by that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OBCA, we may indemnify our current or former directors or officers or another individual who acts or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another entity.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OBCA also provides that we may advance monies to a director, officer or other individual for costs, charges and expenses reasonably incurred in connection with such a proceeding; provided that such individual must repay the monies if the individual does not fulfill the conditions described below.</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indemnification is prohibited under the OBCA unless the individual (i) acted honestly and in good faith with a view to the best interests of the corporation, or the best interests of the other entity for which the individual acted as director or officer or in a similar capacity at the corporation’s request; and (ii) in the case of a criminal or administrative action or proceeding that is enforced by a monetary penalty, the individual had reasonable grounds for believing that his or her conduct was lawful.</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By-laws, we indemnify to the fullest extent permitted by the OBCA (i) any of our directors or officers; (ii) any of our former directors or officers; (iii) any individual who acts or acted at our request as a director or officer, or in a similar capacity, of another entity, against all costs, charges and expenses, including an amount paid to settle an action or satisfy a judgment, reasonably incurred by the individual in respect of any civil, criminal, administrative, or investigative action or other proceeding in which the individual is involved because of that association with us or another entity.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pursuant to the OBCA and the By-laws, purchase and maintain insurance, for each director and officer against any liability incurred by the director or officer as a result of their holding office with us or a related entity if the individual acts or acted in that capacity at our request. We have obtained a customary directors’ and officers’ insurance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Suits and Oppression Remedy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OBCA, a complainant (being a current or former director, officer or security holder of a corporation, which includes a beneficial shareholder, and any other person that a court considers to be a proper person to make such an application) may apply to the Ontario Superior Court of Justice for leave to bring an action in the name and on behalf of us or any of our subsidiaries, or to intervene in an existing action to which we or any of our subsidiaries is a party, for the purpose of prosecuting, defending or discontinuing an action on behalf of us or any of our subsidiaries.</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No such action may be brought and no intervention in any action may be made unless the complainant has given the requisite notice of the application for leave to our directors or the directors of our subsidiary of the complainant’s intention to apply to the court and the court is satisfied that (i) our directors or the directors of our subsidiary will not bring, diligently prosecute or defend or discontinue the action; (ii) the complainant is acting in good faith; and</w:t>
      </w:r>
    </w:p>
    <w:p>
      <w:pPr>
        <w:spacing w:after="0" w:line="1" w:lineRule="exact"/>
        <w:rPr>
          <w:sz w:val="20"/>
          <w:szCs w:val="20"/>
          <w:color w:val="auto"/>
        </w:rPr>
      </w:pPr>
    </w:p>
    <w:p>
      <w:pPr>
        <w:ind w:left="340" w:right="1900" w:hanging="332"/>
        <w:spacing w:after="0" w:line="490" w:lineRule="auto"/>
        <w:tabs>
          <w:tab w:leader="none" w:pos="3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appears to be in the best interests of us or our subsidiary for the action to be brought, prosecuted, defended or discontinued. Under the OBCA, the court in a derivative action may make any order it thinks fit.</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OBCA, a complainant, and, in the case of a public corporation, the OSC, may apply to the Ontario Superior Court of Justice for any interim or final order the court thinks fit, including, but not limited to, an order restraining the conduct complained of, where the court is satisfied that, in respect of us or any of our affiliates, any act or omission of us or any of our affiliates effects or threatens to effect a result, the business or affairs of us or any of our affiliates are, have been or are threatened to be carried on or conducted in a manner, or the powers of our directors or the directors of any of our affiliates are, have been or are threatened to be exercised in a manner, that is oppressive or unfairly prejudicial to or that unfairly disregards the interests of any security holder, creditor, director or officer of ours.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under the applicable corporate governance requirements of the Sarbanes-Oxley Act, the rules adopted by the SEC and Nasdaq’s listing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Mandate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is responsible for supervising the management of our business and affairs, including providing guidance and strategic oversight to management. Our Board has adopted a formal mandate that includes responsibilities for the following:</w:t>
      </w:r>
    </w:p>
    <w:p>
      <w:pPr>
        <w:spacing w:after="0" w:line="162"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performance and the quality, depth and continuity of management needed to meet our strategic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our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steps to satisfy itself as to the integrity of our Chief Executive Officer and other senior executive officers and that our Chief Executive Officer and other senior executive officers create a culture of integrity throughout the organization;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management’s strategic and business plans.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has also adopted position descriptions for the board chair, lead independent director, Chief Executive Officer, committee chairs and individual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we established a separately standing Audit Committee and Governance, Compensation and Nominating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upon consummation of the Business Combination, we established the Audit Committee, which consists of at least three members, each of whom our Board has determined is independent under Nasdaq listing rules, the TSX listing rules, NI 58-101, National Instrument 52-110 — Audit Committees (“NI 52-110”) and Rule 10A-3 under the Exchange Act. Each member of the Audit Committee meets the financial literacy requirements of Nasdaq, TSX and NI 52-110, as applicable, and at least one member qualifies as an “audit committee financial expert” under applicable SEC rules.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consists of three directors, all of whom have been determined by our Board to be independent directors and all of whom are financially literate, in each case, within the meaning of NI 52-110. The Audit Committee members have an understanding of the accounting principles used to prepare financial statements and varied experience as to the general application of such accounting principles, as well as an understanding of the internal controls and procedures necessary for financial reporting. For additional details regarding the relevant education and experience of each member of the Audit Committee, see the subsection titled “Executive Officers and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ind w:left="340"/>
        <w:spacing w:after="0"/>
        <w:rPr>
          <w:sz w:val="20"/>
          <w:szCs w:val="20"/>
          <w:color w:val="auto"/>
        </w:rPr>
      </w:pPr>
      <w:r>
        <w:rPr>
          <w:rFonts w:ascii="Times New Roman" w:cs="Times New Roman" w:eastAsia="Times New Roman" w:hAnsi="Times New Roman"/>
          <w:sz w:val="18"/>
          <w:szCs w:val="18"/>
          <w:color w:val="auto"/>
        </w:rPr>
        <w:t>Our Board adopted, effective upon completion of the Business Combination, the Audit Committee Charter which details the principal functions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This includes the responsibility for the oversight of, among other things as may be delegated by our Board from time to time:</w:t>
      </w:r>
    </w:p>
    <w:p>
      <w:pPr>
        <w:spacing w:after="0" w:line="207"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process and our internal control over financial reporting, disclosure controls and procedures, and compliance with other related legal and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our external auditors;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 of our financial management, internal auditors and external auditors;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enterprise risk management, privacy and data security and monitoring of such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risk;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acquisitions and divestitures that may have a material effect on financial condition, changes in financial condition, results of operations, liquidity, capital resources, capital reserves, or significant components of revenues or expenses;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pertaining to our material policies and practices respecting cash management and material financing strategies or policies or proposed financing arrangements and objectives;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 items such as earnings press releases, financial information and guidance and other public reporting requirements.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It is the responsibility of the Audit Committee to maintain free and open means of communication between the Audit Committee, our external auditors, and our management. The Audit Committee has been given full access to our management, records, and external auditors as necessary to carry out these responsibilities. The Audit Committee has the authority to carry out such special investigations as it sees fit in respect of any matters within its various roles and responsibilities. We provide appropriate funding, as determined by the Audit Committee, for the payment of compensation to the independent auditor for the purpose of rendering or issuing an audit report and to any advisors employed by the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Compensation and Nominating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upon consummation of the Business Combination, we established the Governance, Compensation and Nominating Committee, which consists of at least three members and is comprised solely of directors who either meet or exceed the independence requirements of Nasdaq and who are “independent” within the meaning of NI 58-101 and satisfy any additional independence requirements under applicable U.S. and Canadian securities laws and the TSX listing rules.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adopted, effective upon completion of the Business Combination, a Governance, Compensation and Nominating Committee Charter, which details the principal functions of the Governance, Compensation and Nominating Committee. The Governance, Compensation and Nominating Committee’s purpose is to assist our Board in:</w:t>
      </w:r>
    </w:p>
    <w:p>
      <w:pPr>
        <w:spacing w:after="0" w:line="176" w:lineRule="exact"/>
        <w:rPr>
          <w:sz w:val="20"/>
          <w:szCs w:val="20"/>
          <w:color w:val="auto"/>
        </w:rPr>
      </w:pPr>
    </w:p>
    <w:p>
      <w:pPr>
        <w:ind w:left="660" w:right="2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compensation philosophy, including developing compensation structure for our senior management including salaries, annual and long-term incentive plans including plans involving share issuances and other share-based awards;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designed to identify and mitigate risks associated with our compensation policies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compensation of our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8" w:name="page139"/>
    <w:bookmarkEnd w:id="138"/>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benefit retirement and savings plans and administering our equity-based incentive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performance, evaluation and compensation of our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development and retention of our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talent management and succession planning systems and processes relating to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corporate governance guidelines and principles and providing us with governance leadership;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 nominated as members of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principal corporate policies, including our Code of Business Conduct and Ethics;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and search protocols, as appropriate, to promote diversity of board members and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structure, composition and mandate of our board committees;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effectiveness of our Board and committees thereof.</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Governance, Compensation and Nominating Committee is responsible for establishing and implementing procedures to evaluate the performance and effectiveness of our Board, committees thereof and the contributions of individual directors. The Governance, Compensation and Nominating Committee also takes reasonable steps to evaluate and assess, on an annual basis, directors’ performance and effectiveness of our Board, its committees, individual board members, the board chair, lead independent director and committee chairs. The assessment addresses, among other things, individual director independence, individual director and overall board skills, and individual director financial literacy. Our Board receives and considers the recommendations from the Governance, Compensation and Nominating Committee regarding the results of the evaluation of the performance and effectiveness of our Board, its committees, individual board members, the board chair, the lead independent director and committee chairs. The Governance, Compensation and Nominating Committee is also responsible for orientation and continuing education programs for our directors. See also “Management — Orientation and Continuing Education.”</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Governance, Compensation and Nominating Committee has the authority to retain, at our expense, independent legal, financial, compensation consulting and other advisors to assist the Governance, Compensation and Nominating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(i) as a member of the compensation committee or the board of directors of another entity, one of whose officers serves on the Governance, Compensation and Nominating Committee, or (ii) as a member of the compensation committee of another entity, one of whose officers serves on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B Subordinate Voting Shares are listed on Nasdaq and the TSX under the ticker symbol “XNDU.”</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we adhere to the rules of Nasdaq and applicable Canadian securities laws in determining whether a director is independent. Our Board consults with its counsel to ensure that its determinations are consistent with those rules and all relevant securities and other laws and regulations regarding the independence of directors. The listing standards of Nasdaq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ind w:left="340"/>
        <w:spacing w:after="0"/>
        <w:rPr>
          <w:sz w:val="20"/>
          <w:szCs w:val="20"/>
          <w:color w:val="auto"/>
        </w:rPr>
      </w:pPr>
      <w:r>
        <w:rPr>
          <w:rFonts w:ascii="Times New Roman" w:cs="Times New Roman" w:eastAsia="Times New Roman" w:hAnsi="Times New Roman"/>
          <w:sz w:val="18"/>
          <w:szCs w:val="18"/>
          <w:color w:val="auto"/>
        </w:rPr>
        <w:t>Each of our directors, except for Christian Weedbrook, our Chief Executive Officer, has been determined to be an independent director by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its strategic initiatives, business plans and capital structure. Our management, including our executive officers, is primarily responsible for managing the risks associated with our operations and business and provides appropriate updates to our Board and the Audit Committee. Our Board has delegated to the Audit Committee oversight of its risk management process, and the Governance, Compensation and Nominating Committee also considers risk as it performs its respective committee responsibilities. Both committees report to our Board as appropriate, including when a matter rises to the level of material or enterprise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with the Board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shareholders and interested parties may communicate with our Board, any committee chairperson or the independent directors as a group by writing to our Board or committee chairperson in care of our corporate secretary, Natalie Wilmore.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adopted an insider trading policy that applies to our directors, officers and employees and, among other things, prohibits: (i) trading in our securities while in possession of material non-public information about us; (ii) recommending or encouraging others to trade, or disclosing material non-public information; (iii) trading by designated personnel during regularly scheduled and discretionary blackout periods; and (iv) for insiders and senior employees, short sales, hedging or monetization transactions and other derivative transactions involving, directly or indirectly,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we adopted the Code of Business Conduct and Ethics and have posted the Code of Business Conduct and Ethics and any amendments to or any waivers from a provision of the Code of Business Conduct and Ethics on our website, and intend to disclose any amendments to or waivers of certain provisions of our Code of Business Conduct and Ethics in a manner consistent with NI 58-101 and the applicable rules or regulations of the SEC and Nasdaq. The Governance, Compensation and Nominating Committee is responsible for overseeing compliance with the Code of Business Conduct and Ethics and receives reports from management regarding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in this “Diversity” subsection is being prescribed by Form 58-101F1 — Corporate Governance Disclosure of the Canadian Securities Administrators.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importance and benefits of a board of directors and senior management composed of highly talented and experienced individuals and the need to foster and promote diversity among board members and senior management. As of the date of this prospectus, we do not have a formal written policy regarding the identification and evaluation of candidates for board of directors based on specific diversity criteria. This is primarily due to the recent formation and transition of our Board in connection with the Business Combination.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a diverse board is critical to our long-term success. While we have not yet adopted a formal policy, our board of directors is committed to a thoughtful and deliberate approach to governance. We believe that rushing the implementation of a diversity policy without comprehensive evaluation could result in a framework that does not fully serve the unique strategic needs of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interim, the Governance, Compensation and Nominating Committee will, when identifying candidates to nominate for election to our Board or to appoint as senior management, and in its review of senior management succession planning and talent management:</w:t>
      </w:r>
    </w:p>
    <w:p>
      <w:pPr>
        <w:spacing w:after="0" w:line="162" w:lineRule="exact"/>
        <w:rPr>
          <w:sz w:val="20"/>
          <w:szCs w:val="20"/>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individuals who are highly qualified, based on their talents, experience, functional expertise and personal skills, character and qualities having regard to our current and future plans and objectives, as well as anticipated regulatory and market developments;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criteria that promote diversity, including with regard to gender, ethnicity, and other dimensions;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level of representation of women on its board of directors and in senior management positions, along with other markers of diversity, when making recommendations for nominees to our Board or for appointment as senior management and in general with regard to succession planning for our Board and senior management;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develop policies and search protocols to promote diversity of board members and our management team and engage qualified independent external advisors to assist in conducting searches for candidates who meet our Board’s criteria regarding skills, experience and diversity.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Upon completion of the Business Combination, there were three women on our Board, representing 50% of the directors upon Closing. There is one member of visible minorities (as defined in the </w:t>
      </w:r>
      <w:r>
        <w:rPr>
          <w:rFonts w:ascii="Times New Roman" w:cs="Times New Roman" w:eastAsia="Times New Roman" w:hAnsi="Times New Roman"/>
          <w:sz w:val="18"/>
          <w:szCs w:val="18"/>
          <w:i w:val="1"/>
          <w:iCs w:val="1"/>
          <w:color w:val="auto"/>
        </w:rPr>
        <w:t>Employment Equity Act</w:t>
      </w:r>
      <w:r>
        <w:rPr>
          <w:rFonts w:ascii="Times New Roman" w:cs="Times New Roman" w:eastAsia="Times New Roman" w:hAnsi="Times New Roman"/>
          <w:sz w:val="18"/>
          <w:szCs w:val="18"/>
          <w:color w:val="auto"/>
        </w:rPr>
        <w:t xml:space="preserve"> (Canada)) on our Board. There were two women executive officers upon Closing, representing 40% of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Forum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By-laws provide that, unless we consent in writing to the selection of an alternative forum and except as set out below, the courts of the Province of Ontario, Canada and the appellate courts therefrom, to the fullest extent permitted by law, will be the sole and exclusive forum for any derivative action or proceeding brought on behalf of us, any action or proceeding asserting a claim of breach of a fiduciary duty owed by any of our directors, officers or other employees to us, any action or proceeding asserting a claim arising pursuant to any provision of the OBCA or the Articles or the By-laws (as either may be amended from time to time), or any action or proceeding asserting a claim or otherwise related to our affairs. The By-laws also provide that, notwithstanding the foregoing, unless we consent in writing to the selection of an alternative forum, the federal district courts of the United States of America will have exclusive jurisdiction for the resolution of any complaint filed in the United States asserting a cause of action arising under the Securities Act or the Exchange Act. Investors cannot waive compliance with the U.S. federal securities laws and the rules and regulations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Articles, the By-laws and Alteration of Share Capital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OBCA, we may amend our articles by special resolution. A special resolution is generally required to approve corporate matters that may materially affect the rights of shareholders or are of a transformative nature for the corporation, including, but not limited to, changes to the corporation’s authorized capital structure, changes to the rights privileges, restrictions and conditions in respect of any of the corporation’s shares, a change in the corporation’s name, the winding up, dissolution or liquidation of the corporation, and a plan of arrangement with shareholders.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OBCA, our Board may, by resolution, make, amend or repeal any by-laws that regulate the business or affairs of the Company. Where the directors make, amend or repeal any by-law, they must submit the by-law, amendment or repeal to our Shareholders at the next meeting of shareholders, and the shareholders may confirm, reject or amend the by-law, amendment or repeal. Where a by-law is made, amended or repealed by the directors, the by-law, amendment or repeal is effective from the date of the resolution of the directors until it is confirmed, amended or rejected by shareholders (or, if the directors fail to submit the by-law, amendment or repeal to shareholders, until the date of the shareholders meeting at which it should have been submitted).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section describes the significant elements of our executive compensation program, with particular emphasis on the process for determining compensation payable to our Chief Executive Officer (our “CEO”), Chief Financial Officer and our other three most highly compensated executive officers (collectively, the “Named Executive Officers” or “NEOs”). The discussion below reflects changes to Old Xanadu’s compensation program that were implemented in connection with the Closing. The NEOs are:</w:t>
      </w:r>
    </w:p>
    <w:p>
      <w:pPr>
        <w:spacing w:after="0" w:line="180"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Weedbrook,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Trzupek,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Rafal Janik, Chief Operating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Rebecca Laramée, Chief People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Natalie Wilmore, Chief Legal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Compensation-Setting Process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Old Xanadu’s board of directors was responsible for setting the compensation of Old Xanadu’s Chief Executive Officer, and for working with Old Xanadu’s Chief Executive Officer to set the compensation for the other executive officers. In connection with the completion of the Business Combination, our Board formed the Governance, Compensation and Nominating Committee and adopted a written charter for the Governance, Compensation and Nominating Committee providing that the Governance, Compensation and Nominating Committee will, among other things, assist our Board in its oversight of executive compensation, director compensation and executive compensation disclosure. See “Management — Board Committees.”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CEO makes recommendations to the Governance, Compensation and Nominating Committee each year with respect to compensation for the other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Objectives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executive compensation program is designed to achieve the following objectives:</w:t>
      </w:r>
    </w:p>
    <w:p>
      <w:pPr>
        <w:spacing w:after="0" w:line="225" w:lineRule="exact"/>
        <w:rPr>
          <w:sz w:val="20"/>
          <w:szCs w:val="20"/>
          <w:color w:val="auto"/>
        </w:rPr>
      </w:pPr>
    </w:p>
    <w:p>
      <w:pPr>
        <w:ind w:left="660" w:right="2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market-competitive compensation opportunities in order to attract and retain talented, high-performing and experienced executive officers, whose knowledge, skills and performance are critical to our success;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these executive officers to achieve our business objectives;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with those of our shareholders by tying a meaningful portion of compensation directly to the long-term value and growth of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foster an entrepreneurial and results-driven culture;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encourage appropriate levels of risk-taking and prudent decision-making by the executive team.</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continue to evaluate our philosophy and compensation program as circumstances require and review compensation on an annual basis. As part of this review process, we are guided by the philosophy and objectives outlined above, as well as other factors which may become relevant.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Consultant and Benchmarking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White and Gale (“W&amp;G”), an independent executive compensation consulting firm, was first retained in August 2025 to provide services to Old Xanadu in connection with executive officer and director compensation in connection with the Business Combination, including:</w:t>
      </w:r>
    </w:p>
    <w:p>
      <w:pPr>
        <w:spacing w:after="0" w:line="16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developing the compensation objectives and peer group;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reviewing the competitiveness of Old Xanadu’s current cash and equity-based compensation arrangements for its NEOs;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designing a new incentive awards framework for Old Xanadu’s executive officers and key managers;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director compensation assessment.</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W&amp;G also conducted compensation benchmarking for non-executive officers and advised on the compensation structure for non-executive officers at Old Xanadu.</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working with W&amp;G, Old Xanadu used the following criteria to determine a competitive peer group for purposes of benchmarking executive and director compensation:</w:t>
      </w:r>
    </w:p>
    <w:p>
      <w:pPr>
        <w:spacing w:after="0" w:line="162"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who belong to similar industry segments;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publicly-traded companies on major Canadian and/or U.S. exchanges.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above criteria, the following compensation peer group was established for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D-Wave Quantum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IonQ,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Computing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Rigetti Computing, Inc.</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set market-competitive levels of compensation by considering the compensation paid by members of the compensation peer group to each of their executives. We also consider data from third party compensation surveys.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W&amp;G’s fees incurred to date for services provided to Old Xanadu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8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8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82"/>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Related Fees</w:t>
            </w:r>
            <w:r>
              <w:rPr>
                <w:rFonts w:ascii="Times New Roman" w:cs="Times New Roman" w:eastAsia="Times New Roman" w:hAnsi="Times New Roman"/>
                <w:sz w:val="29"/>
                <w:szCs w:val="29"/>
                <w:b w:val="1"/>
                <w:bCs w:val="1"/>
                <w:color w:val="auto"/>
                <w:w w:val="94"/>
                <w:vertAlign w:val="superscript"/>
              </w:rPr>
              <w:t>(1)</w:t>
            </w:r>
          </w:p>
        </w:tc>
        <w:tc>
          <w:tcPr>
            <w:tcW w:w="280" w:type="dxa"/>
            <w:vAlign w:val="bottom"/>
          </w:tcPr>
          <w:p>
            <w:pPr>
              <w:spacing w:after="0"/>
              <w:rPr>
                <w:sz w:val="24"/>
                <w:szCs w:val="24"/>
                <w:color w:val="auto"/>
              </w:rPr>
            </w:pPr>
          </w:p>
        </w:tc>
        <w:tc>
          <w:tcPr>
            <w:tcW w:w="1040" w:type="dxa"/>
            <w:vAlign w:val="bottom"/>
            <w:gridSpan w:val="2"/>
          </w:tcPr>
          <w:p>
            <w:pPr>
              <w:jc w:val="center"/>
              <w:ind w:right="180"/>
              <w:spacing w:after="0" w:line="276" w:lineRule="exact"/>
              <w:rPr>
                <w:sz w:val="20"/>
                <w:szCs w:val="20"/>
                <w:color w:val="auto"/>
              </w:rPr>
            </w:pPr>
            <w:r>
              <w:rPr>
                <w:rFonts w:ascii="Times New Roman" w:cs="Times New Roman" w:eastAsia="Times New Roman" w:hAnsi="Times New Roman"/>
                <w:sz w:val="18"/>
                <w:szCs w:val="18"/>
                <w:b w:val="1"/>
                <w:bCs w:val="1"/>
                <w:color w:val="auto"/>
                <w:w w:val="88"/>
              </w:rPr>
              <w:t>Fees</w:t>
            </w:r>
            <w:r>
              <w:rPr>
                <w:rFonts w:ascii="Times New Roman" w:cs="Times New Roman" w:eastAsia="Times New Roman" w:hAnsi="Times New Roman"/>
                <w:sz w:val="29"/>
                <w:szCs w:val="29"/>
                <w:b w:val="1"/>
                <w:bCs w:val="1"/>
                <w:color w:val="auto"/>
                <w:w w:val="88"/>
                <w:vertAlign w:val="superscript"/>
              </w:rPr>
              <w:t>(2)</w:t>
            </w:r>
          </w:p>
        </w:tc>
      </w:tr>
      <w:tr>
        <w:trPr>
          <w:trHeight w:val="216"/>
        </w:trPr>
        <w:tc>
          <w:tcPr>
            <w:tcW w:w="8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5"/>
              </w:rPr>
              <w:t>C$</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40,503.26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69,164.28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Notes:</w:t>
            </w:r>
          </w:p>
        </w:tc>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incurred for advice in respect of executive compensation-related services described above.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incurred for advice in respect of non-executive officer and employee compensation.</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Compensia, Inc. was engaged to provide services on an ad-hoc basis to the Governance, Compensation and Nominating Committee.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fiscal year ending December 31, 2026, our compensation program consists primarily of the following elements: base salary, long-term equity incentives and benefits. Over the course of the fiscal year, we will consider whether to provide annual bonuses or other short-term incentives for the fiscal year ending December 31, 2026. Perquisites are not a significant element of compensation for NEOs.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 salary is provided as a fixed source of compensation for our NEOs.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and increased for merit reasons, based on the executive’s success in meeting or exceeding individual objectives. Additionally, base salaries can be adjusted as warranted throughout the year to reflect promotions or other changes in the scope of breadth of an executive’s role or responsibilities, as well as to maintain market competitiveness.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provide standard health, dental, and life insurance benefits to our executive officers in Canada, and standard medical, dental and vision insurance to our executive officers in the United States, in either case on the same terms and conditions as provided to all other eligible employees in the applicable jurisdiction. We will consider adopting additional benefits for our executive officers in the fiscal year ending December 31, 2026. Other than a 401(k) retirement savings plan with a non-elective employer contribution of 3% of salary that is available to eligible employees in the United States, we do not offer a deferred compensation plan or pension plan. We do not provide perquisites that are not generally available on a non-discriminatory basis to all of our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Equity-based awards are a variable element of compensation that allow us to reward our NEOs for their sustained contributions to the company. We believe that options and other equity-based compensation such as performance share units and restricted share units provide NEOs with a strong link to long-term corporate performance and the creation of shareholder value.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Historically, Old Xanadu has issued options under (a) the Stock Option Plan dated as of January 15, 2017, as amended; (b) the 2017 Equity Incentive Plan, dated as of October 30, 2017, as amended; and (c) the 2018 Equity Incentive Plan, dated as of April 6, 2018 (collectively, the “Legacy Equity Plans”). Pursuant to the Arrangement, outstanding Old Xanadu Options were exchanged for options to purchase Shares (with the number of Shares subject to each such option and the exercise price being adjusted by an exchange ratio in accordance with the terms of the Arrangement), and such options remain outstanding under the applicable Legacy Equity Plans. No equity awards will be granted under the Legacy Equity Plans following the Closing.</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we adopted the Omnibus Plan (as defined below) for future awards to eligible directors, officers, employees and consultants of the Company and its subsidiaries. See “— Long-Term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omnibus plan (the “Omnibus Plan”) provides for the grant of options (“Options”), share appreciation rights (“SARs”), restricted share units (“RSUs”), performance share units (“PSUs”), deferred share units (“DSUs”), and other share-based awards (“Other Share-Based Awards” and together with the Options, SARs, RSUs, PSUs and DSUs, the “Awards”). All Awards are granted by an agreement evidencing the Award (an “Award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i w:val="1"/>
          <w:iCs w:val="1"/>
          <w:color w:val="auto"/>
        </w:rPr>
        <w:t>Eligible Participants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Awards may be granted to employees, directors or consultants of the Company and its designated affiliates.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Omnibus Plan is administered by our Board, which may delegate its authority to any duly authorized committee of our Board (the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The Plan Administrator has sole and complete authority, in its discretion, to:</w:t>
      </w:r>
    </w:p>
    <w:p>
      <w:pPr>
        <w:spacing w:after="0" w:line="207"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individuals (the “Participants”) to whom grants of Awards may be made;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grants of Awards relating to the issuance of Class B Subordinate Voting Shares, in such amounts, to such Participants and on such terms and conditions as it determines, including: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or times at which Awards may be granted;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under which: (i) Awards may be granted to Participants; or (ii) Awards may be forfeited to the Company, including any conditions relating to the attainment of specified performance goals;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B Subordinate Voting Shares to be covered by any Award;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to be paid by a Participant in connection with the purchase of Class B Subordinate Voting Shares covered by any Awards;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restrictions or limitations are to be imposed on the Class B Subordinate Voting Shares issuable pursuant to grants of any Award, and the nature of such restrictions or limitations, if 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of exercisability or vesting, or waiver of termination regarding any Award, based on such factors as the Plan Administrator may determine;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each Option is to be an incentive stock option within the meaning of Section 422 of the Internal Revenue Code (“ISO”) or a non-qualified stock option;</w:t>
      </w:r>
    </w:p>
    <w:p>
      <w:pPr>
        <w:spacing w:after="0" w:line="1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determine whether each Option is to be eligible for the deduction pursuant to paragraph 110(1)(d)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forms of Award Agreements;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amend, adjust or otherwise change any Award under such circumstances as the Plan Administrator may consider appropriate in accordance with the provisions of the Omnibus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Omnibus Plan and all Award Agreements;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prescribe and rescind administrative guidelines and other rules and regulations relating to the Omnibus Plan, including rules and regulations relating to sub-plans established for the purpose of satisfying applicable foreign laws or for qualifying for favorable tax treatment under applicable foreign laws;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and take all other actions necessary or advisable for the implementation and administration of the Omnibus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adjustments as provided for under the Omnibus Plan, the maximum number of Class B Subordinate Voting Shares available for issuance pursuant to Awards granted under the Omnibus Plan will not exceed 15% of the total issued and outstanding Shares from time to time. As of the Closing Date, there are estimated to be approximately 47,313,299 Class B Subordinate Voting Shares reserved and available for issuance under the Omnibus Plan. The number of Class B Subordinate Voting Shares reserved and available for issuance for ISOs cannot exceed 31,542,199.</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Omnibus Plan is an “evergreen” plan, since the Class B Subordinate Voting Shares covered by Awards which have been exercised or terminated will be available for subsequent grants under the Omnibus Plan and the total number of Awards available to grant increases as the number of issued and outstanding Class B Subordinate Voting Shares and Class A Multiple Voting Shares increases. Accordingly, the Omnibus Plan must be approved by shareholders every three years for us to continue to grant Awards.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Class B Subordinate Voting Shares issued by us through the assumption or substitution of outstanding stock options or other equity-based awards from an entity acquired by us, including in connection with the Business Combination, shall not reduce the number of Class B Subordinate Voting Shares available for issuance pursuant to the exercise or settlement of Awards granted under the Omnibus Plan. Any Class B Subordinate Voting Shares issued by us pursuant to an inducement award in accordance with Section 613(c) of the TSX Company Manual shall not reduce the number of Class B Subordinate Voting Shares available for issuance under the Omnibus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Participation Limit and Other Participation Limits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number of Class B Subordinate Voting Shares: (i) issuable to Insiders (as defined in the Omnibus Plan) at any time under all of our security based compensation arrangements (which includes the Awards outstanding under the Legacy Equity Plans) may not exceed 10% of our total issued and outstanding Shares; and (ii) issued to Insiders within any one-year period, under all of our security based compensation arrangements may not exceed 10% of our total issued and outstanding Shares.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number of Class B Subordinate Voting Shares issuable to any one Participant under all of our security based compensation arrangements shall not exceed 10% of the issued and outstanding Shares.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aggregate fair value on the date of grant of Awards issuable to Participants who are non-employee directors under the Omnibus Plan or any other security based compensation arrangement of ours (which, for greater certainty, includes the Legacy Equity Plans) within any one financial year, cannot exceed C$150,000, of which no more than C$100,000 may be granted in the form of Options. Notwithstanding the foregoing, the limits will not apply to any DSUs granted to non-employee directors in respect of a deferral of their annual retainer or to Awards granted to a new non-employee director upon joining our board or one of our designated affiliates.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maximum number of Class B Subordinate Voting Shares issuable with respect to Awards other than Options or SARs is 15% of the total issued and outstanding Shares from time to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Blackout Period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exercise or settlement period of Awards shall automatically be extended if the date on which such Award is scheduled to expire falls during a blackout period or within five business days following the expiry of such blackout period. In such cases, unless the delayed expiration would result in tax penalties, the Award will expire 10 business days after the last day of the blackout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7"/>
          <w:szCs w:val="17"/>
          <w:color w:val="auto"/>
        </w:rPr>
        <w:t>An Option entitles a holder thereof to purchase a Class B Subordinate Voting Share at an exercise price set at the time of the grant, which exercise price must in all cases be not less than the Market Price on the date of grant. For purposes of the Omnibus Plan, “Market Price” is defined as the closing price of the Class B Subordinate Voting Shares on the TSX (or if the Class B Subordinate Voting Shares are listed on more than one stock exchange and the closing price on another exchange is higher, then the highest of such closing prices) on the business day immediately preceding the applicable date. Subject</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to any accelerated termination as set forth in the Omnibus Plan, each Option shall expire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date of grant. The Plan Administrator will have the authority to determine the vesting terms applicable to grants of Options and the right to accelerate the date upon which any Option becomes exercisable.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6" w:name="page147"/>
    <w:bookmarkEnd w:id="146"/>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Options granted to certain Participants who are employees of the Company or one of its subsidiaries may be designated as ISOs, which qualify for special tax treatment in the United States.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permit a cashless exercise of Options through a broker assisted exercise.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lieu of exercising a vested Option (other than an ISO), the Participant may elect to surrender all or part of the Option for cancellation for an amount equal to the Market Price of the Class B Subordinate Voting Shares on the date of surrender less the exercise price (the “in-the-money amount”) and request that the in-the-money amount be satisfied in cash, in Class B Subordinate Voting Shares with an aggregate Market Price equal to the “in-the-money amount”, or a combination of the two. Notwithstanding any election by the Participant to receive cash, we may choose to issue Class B Subordinate Voting Shares in satisfaction of the in-the-money amount.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Appreciation Rights</w:t>
      </w:r>
    </w:p>
    <w:p>
      <w:pPr>
        <w:spacing w:after="0" w:line="22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8"/>
          <w:szCs w:val="18"/>
          <w:color w:val="auto"/>
        </w:rPr>
        <w:t>SARs may be granted in tandem with the granting of Options, or on a stand-alone basis. The vesting terms of the SAR will be set out in the Participant’s Award Agreement. Upon the exercise of a SAR, a Participant will be issued Class B Subordinate Voting Shares (rounded down to the nearest whole number) with an aggregate Market Price on the date of exercise equal to the product of: (a) the number of SARs exercised; and (b) the amount by which the Market Price of a Class B Subordinate Voting Share on the date of exercise exceeds the Market Price on the grant date. Subject to any accelerated termination provisions set forth in the Omnibus Plan, each SAR shall expire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grant 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 RSU is a unit equivalent in value to a Class B Subordinate Voting Share that does not vest until after a specified period of time, as determined by the Plan Administrator and set forth in the applicable Award Agreement.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Omnibus Plan and except as otherwise provided in an Award Agreement, on the settlement date for any vested RSU, such vested RSUs will be settled in the form of a Class B Subordinate Voting Share, a cash payment, or a combination thereof. If the RSUs are settled for a cash payment, the amount of the cash payment will be equal to the number of vested RSUs multiplied by the Market Price on the vesting date. The payment date of any RSUs which the Plan Administrator may elect to settle in cash shall not extend beyond December 31 of the third calendar year in which the services giving rise to the Award were rendered.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PSU is a unit equivalent in value to a Class B Subordinate Voting Share which does not vest until the achievement of specified performance goals. The Plan Administrator will determine performance goals prior to the grant date of PSUs to which such performance goals pertain. The performance goals may be based upon the achievement of financial, corporate, divisional and/or personal goals and may be applied to the Company as a whole, any affiliate of the Company or any business unit of the Company or any affiliate of the Company, either individually, alternatively, or in combination, and measured in either total, incrementally, or cumulatively over the specific performance period on an absolute basis or relative to a pre-established target, to previous years’ results or to a designated comparison group. In calculating the level of achievement of the applicable performance goals, the Plan Administrator may, in its sole discretion, make adjustments to the calculation of any performance goals to take into account, to the extent appropriate, the impact of significant events. The performance goals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of PSUs will occur), all as set forth in the applicable Award Agreement. The number of PSUs that may vest will range from 0-200% depending on the level of achievement of the performance goals.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Omnibus Plan and except as otherwise provided in an Award Agreement, on the settlement date for any vested PSU, such vested PSUs will be settled in the form of a Class B Subordinate Voting Share, a cash payment, or a combination thereof. If the PSUs are settled for a cash payment, the amount of the cash payment will be equal to the number of vested PSUs multiplied by the Market Price on the vesting date. The payment date of any PSUs which the Plan Administrator may elect to settle in cash shall not extend beyond December 31 of the third calendar year in which the services giving rise to the Award were rendered.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Share Units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DSU is a unit equivalent in value to a Class B Subordinate Voting Share that vests either upon grant (if granted pursuant to an election made by a non-employee director to defer annual retainer fees) or upon such other terms as may be determined by the Plan Administrator, but does not settle until a future date, generally upon termination of service with the Company. The number of DSUs (including fractional DSUs) granted at any particular time will be calculated by dividing (a) the amount of any compensation that is to be paid in DSUs by (b) the Market Price of a Class B Subordinate Voting Share on the grant date.</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Subject to the terms of the Omnibus Plan and except as otherwise provided in an Award Agreement, on the settlement date for any DSU, such DSUs will be settled in the form of a Class B Subordinate Voting Share, a cash payment, or a combination thereof. If the DSUs are settled for a cash payment, the amount of the cash payment will be equal to the number of vested DSUs multiplied by the Market Price on the settlement date. Unless otherwise specified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in an Award Agreement, the settlement date will be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termination of the Participant’s service, provided that if the Plan Administrator may elect to settle the DSUs in cash, then the settlement date will be no later than December 15 of the year following the year in which the Participant’s service terminates.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Other Share-Based Award shall consist of a right (a) which is other than an Award or right described above, and (b) which is denominated or payable in, valued in whole or in part by reference to, or otherwise based on or related to, Class B Subordinate Voting Shares (including, without limitation, securities convertible into Class B Subordinate Voting Shares) as are deemed by the Plan Administrator to be consistent with the purposes of the Omnibus Plan; provided, however, that such right will comply with applicable law (including applicable securities laws and be subject to any required approval of the TSX or any other applicable stock exchange (which may include shareholder approval)). Subject to the terms of the Omnibus Plan and any applicable Award Agreement, the Plan Administrator will determine the terms and conditions of Other Share-Based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Equivalents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determined by the Plan Administrator and set forth in the particular Award Agreement, RSUs, PSUs and DSUs will be credited with dividend equivalents in the form of additional RSUs, PSUs or DSUs, as applicable, as of each dividend payment date in respect of which normal cash dividends are paid on Class B Subordinate Voting Shares. Dividend equivalents will vest in proportion to the underlying Awards to which they relate and will be settled in the same manner as such Awards.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Recoupment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awards will be subject to the provisions of our compensation recovery policy to the extent set forth in such compensation recovery policy. See “— Clawback Policy.”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any subdivision or consolidation of Class B Subordinate Voting Shares or any similar capital reorganization or a payment of a stock dividend (other than a stock dividend that is in lieu of a cash dividend), or any amalgamation, combination, arrangement, merger or other transaction or reorganization involving the Company and occurring by exchange of Class B Subordinate Voting Shares, by sale or lease of assets or otherwise, that does not constitute a Change in Control (as defined in the Omnibus Plan), our Board will, subject to the required approval of any stock exchange, determine and authorize the appropriate amendments or replacements of any existing awards and/or the terms of any Award to be made in such circumstances in order to maintain proportionately the rights, value and obligations of the Participants in respect of Awards under the Omnibus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i w:val="1"/>
          <w:iCs w:val="1"/>
          <w:color w:val="auto"/>
        </w:rPr>
        <w:t>Effect of Termination of Employment or Engagement on Awards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of a Participant’s employment agreement, Award Agreement or other written agreement, the treatment of a Participant’s Awards in connection with a termination of employment or engagement is set out in the table below. The terms of any Option previously outstanding under the Legacy Equity Plans will remain subject to the terms of the Legacy Equity Plans and any applicable option agreement.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Termination Event</w:t>
            </w:r>
          </w:p>
        </w:tc>
        <w:tc>
          <w:tcPr>
            <w:tcW w:w="120" w:type="dxa"/>
            <w:vAlign w:val="bottom"/>
          </w:tcPr>
          <w:p>
            <w:pPr>
              <w:spacing w:after="0"/>
              <w:rPr>
                <w:sz w:val="21"/>
                <w:szCs w:val="21"/>
                <w:color w:val="auto"/>
              </w:rPr>
            </w:pPr>
          </w:p>
        </w:tc>
        <w:tc>
          <w:tcPr>
            <w:tcW w:w="8300" w:type="dxa"/>
            <w:vAlign w:val="bottom"/>
            <w:tcBorders>
              <w:bottom w:val="single" w:sz="8" w:color="auto"/>
            </w:tcBorders>
          </w:tcPr>
          <w:p>
            <w:pPr>
              <w:ind w:left="3760"/>
              <w:spacing w:after="0"/>
              <w:rPr>
                <w:sz w:val="20"/>
                <w:szCs w:val="20"/>
                <w:color w:val="auto"/>
              </w:rPr>
            </w:pPr>
            <w:r>
              <w:rPr>
                <w:rFonts w:ascii="Times New Roman" w:cs="Times New Roman" w:eastAsia="Times New Roman" w:hAnsi="Times New Roman"/>
                <w:sz w:val="18"/>
                <w:szCs w:val="18"/>
                <w:b w:val="1"/>
                <w:bCs w:val="1"/>
                <w:color w:val="auto"/>
              </w:rPr>
              <w:t>Provisions</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Death or Disability</w:t>
            </w:r>
          </w:p>
        </w:tc>
        <w:tc>
          <w:tcPr>
            <w:tcW w:w="120" w:type="dxa"/>
            <w:vAlign w:val="bottom"/>
          </w:tcPr>
          <w:p>
            <w:pPr>
              <w:spacing w:after="0"/>
              <w:rPr>
                <w:sz w:val="17"/>
                <w:szCs w:val="17"/>
                <w:color w:val="auto"/>
              </w:rPr>
            </w:pPr>
          </w:p>
        </w:tc>
        <w:tc>
          <w:tcPr>
            <w:tcW w:w="8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 portion of any unvested Awards will immediately vest on the termination date, such portion equal to the number</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unvested Awards held by the Participant next due to vest multiplied by a fraction, the numerator of which is the</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 of days between the last vesting date (or if none have vested, the grant date) and the termination date and</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denominator of which is the number of days between the last vesting date (or if none have vested, the grant</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date) and the next date of any unvested Awards were originally scheduled to vest. Vested Options and SARs</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remain exercisable until the expiry date. The performance multiplier applicable to any performance criteria</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assigned to such Awards will be deemed to be 100%. Any Award that does not vest will be forfeited as of the</w:t>
            </w:r>
          </w:p>
        </w:tc>
      </w:tr>
      <w:tr>
        <w:trPr>
          <w:trHeight w:val="234"/>
        </w:trPr>
        <w:tc>
          <w:tcPr>
            <w:tcW w:w="282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termination date.</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Termination without Cause</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Vesting of a portion of any unvested Awards on the next scheduled vesting date equal to the number of unvested</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Awards held by the Participant next due to vest multiplied by a fraction, the numerator of which is the number of</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days between the last vesting date (or if none have vested, the grant date) and the termination date and the</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denominator of which is the number of days between the last vesting date (or if none have vested, the grant date)</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the next date of any unvested Awards were originally scheduled to vest. Vested Options and SARs remain</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exercisable until the earlier of 90 days following the termination date (or vesting date, if the Option or SAR vests</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a result of the participant’s termination) and the expiry date. Any performance goals will be measured based on</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actual results at the end of the performance period. Any Award that does not vest will be forfeited as of the</w:t>
            </w:r>
          </w:p>
        </w:tc>
      </w:tr>
      <w:tr>
        <w:trPr>
          <w:trHeight w:val="234"/>
        </w:trPr>
        <w:tc>
          <w:tcPr>
            <w:tcW w:w="282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termination date.</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Resignation</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Vested Options and SARs remain exercisable until the earlier of 90 days following the termination date and the</w:t>
            </w:r>
          </w:p>
        </w:tc>
      </w:tr>
      <w:tr>
        <w:trPr>
          <w:trHeight w:val="234"/>
        </w:trPr>
        <w:tc>
          <w:tcPr>
            <w:tcW w:w="282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expiry date. Any Award that has not vested as of the termination date will be forfeited as of the termination date.</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Retirement</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event of an employee’s Retirement, then provided that they comply with all applicable post-employment</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obligations, all unvested Awards will continue to vest in accordance with their terms, except that each Option and</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SAR will be exercisable until the earlier of the date that is three years after the termination date and the expiry</w:t>
            </w:r>
          </w:p>
        </w:tc>
      </w:tr>
      <w:tr>
        <w:trPr>
          <w:trHeight w:val="234"/>
        </w:trPr>
        <w:tc>
          <w:tcPr>
            <w:tcW w:w="282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Termination for Cause</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event an employee’s or consultant’s employment or engagement terminates by reason of termination for</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cause (or resignation where facts giving rise to cause exist), then each Award held by the Participant, whether</w:t>
            </w:r>
          </w:p>
        </w:tc>
      </w:tr>
      <w:tr>
        <w:trPr>
          <w:trHeight w:val="234"/>
        </w:trPr>
        <w:tc>
          <w:tcPr>
            <w:tcW w:w="282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vested or unvested, will be forfeited as of the termination date.</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of Directorship</w:t>
            </w: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If termination is due to breach of the director’s fiduciary duty, all Awards other than DSUs received in lieu of</w:t>
            </w:r>
          </w:p>
        </w:tc>
      </w:tr>
      <w:tr>
        <w:trPr>
          <w:trHeight w:val="216"/>
        </w:trPr>
        <w:tc>
          <w:tcPr>
            <w:tcW w:w="2820" w:type="dxa"/>
            <w:vAlign w:val="bottom"/>
          </w:tcPr>
          <w:p>
            <w:pPr>
              <w:spacing w:after="0"/>
              <w:rPr>
                <w:sz w:val="18"/>
                <w:szCs w:val="18"/>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annual retainer fees are immediately forfeited. If termination is due to any reason other than death or Disability or</w:t>
            </w:r>
          </w:p>
        </w:tc>
      </w:tr>
      <w:tr>
        <w:trPr>
          <w:trHeight w:val="234"/>
        </w:trPr>
        <w:tc>
          <w:tcPr>
            <w:tcW w:w="2820" w:type="dxa"/>
            <w:vAlign w:val="bottom"/>
          </w:tcPr>
          <w:p>
            <w:pPr>
              <w:spacing w:after="0"/>
              <w:rPr>
                <w:sz w:val="20"/>
                <w:szCs w:val="20"/>
                <w:color w:val="auto"/>
              </w:rPr>
            </w:pPr>
          </w:p>
        </w:tc>
        <w:tc>
          <w:tcPr>
            <w:tcW w:w="8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breach of fiduciary duty, all unvested Awards are immediately forfeited.</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Plan Administrator may, in its discretion, permit the acceleration of vesting of any or all Awards or waive termination of any or all Awards, all in the manner and on the terms as may be authorized by the Plan Administrator.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a Change in Control (as defined in the Omnibus Plan), subject to the terms of a Participant’s employment agreement and the applicable Award Agreement, outstanding Awards shall be converted or exchanged into or for rights or other securities of substantially equivalent value as determined by the Plan Administrator in its discretion, in any entity participating in or resulting from the Change in Control. The Plan Administrator may, without the consent of any Participant, instead cause (i) the termination of any vested Award in exchange for an amount of cash and/or property equal in value to the amount that would have been attained upon the exercise or settlement of such Award as of the date of the Change in Control, and/or the replacement of such Award with other rights or property.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and any surviving or parent entity cease to be publicly traded as a result of the Change in Control, then all outstanding Awards shall vest and become exercisable, realizable or payable immediately prior to the consummation of the Change in Control. If any Awards are subject to performance goals, the Plan Administrator shall determine the extent to which such performance goals are attained.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within 24 months following the completion of a Change in Control, an employee’s employment is terminated by us or an affiliate of ours without cause, then all Awards granted to the employee prior to the Change in Control and still held by the employee will immediately vest and be settled in accordance with their terms. If any Awards are subject to performance goals, the Plan Administrator shall determine the extent to which such performance goals are attained.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rights of a Participant under the Omnibus Plan are generally not capable of being assigned, transferred, alienated, sold, encumbered, pledged, mortgaged or charged. Awards (other than ISOs) may be assigned to a “permitted assign” (as defined under Canadian securities laws) which includes a spouse, registered retirement savings plan, or personal holding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Suspension or Termination of the Omnibus Plan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Plan Administrator may amend, suspend or terminate the Omnibus Plan or any Awards granted pursuant thereto as it, in its discretion, determines appropriate, provided, however, that: (a) no such amendment, suspension or termination may materially impair any rights of a Participant or materially increase any obligations of a Participant under the Omnibus Plan without the consent of the Participant, unless the Plan Administrator determines such adjustment is required or desirable in order to comply with any applicable securities laws or TSX requirements; and (b) any amendment that would cause an Award held by a U.S. taxpayer to be subject to the additional tax penalty under the Code will be null and void with respect to the U.S. taxpayer. Amendments to the Omnibus Plan shall be subject to any required approval of the TSX or any other applicable stock exchange.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50" w:name="page151"/>
    <w:bookmarkEnd w:id="150"/>
    <w:p>
      <w:pPr>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rules of the TSX or any other applicable stock exchange, approval of the holders of voting shares of the Company will be required for any amendment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percentage of Class B Subordinate Voting Shares reserved for issuance under the Omnibus Plan, except pursuant to the provisions in the Omnibus Plan which permit the Plan Administrator to make equitable adjustments in the event of transactions affecting the Company or its capital;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removes the 10% limit on Class B Subordinate Voting Shares issuable or issued to Insiders;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removes the limit on Class B Subordinate Voting Shares issuable to non-employee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provisions in the Omnibus Plan which permit the Plan Administrator to make equitable adjustments in the event of transactions affecting the Company or its capital: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exercise price of an Award;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cancellation or termination of an Award of a Participant prior to its expiry date for the purpose of reissuing an Award to the same Participant;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term of an Award beyond the original expiry date (except where an expiry date would have fallen within a blackout period applicable to the Participant or within five business days following the expiry of such a blackout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Awards to be transferred to a person other than a permitted assign or for normal estate settlement purposes;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removes or reduces the range of amendments which require approval of the holders of our voting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Plan Administrator may, without shareholder approval, at any time or from time to time, amend the Omnibus Plan or any Award for the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207"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to the vesting provisions of each Award;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regarding the effect of termination of a Participant’s employment or engagement;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that are necessary or desirable to comply with applicable law or the requirements of any stock exchange or other regulatory body having authority over us, the Omnibus Plan or shareholders;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a “housekeeping” nature, including to clarify the meaning of an existing provision of the Omnibus Plan or an Award, correct or supplement any provision of the Omnibus Plan that is inconsistent with any other provision of the Omnibus Plan, or to correct any ambiguity, error or omission;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regarding the administration of the Omnibus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and the Governance, Compensation and Nominating Committee consider the implications of the risks associated with our compensation policies and practices as part of their respective responsibilities. In this regard, our Board and the Governance, Compensation and Nominating Committee review our compensation policies and practices with a view to ensuring that they do not encourage an executive officer or an employee to take inappropriate or excessive risks. The following risk mitigating features have been adopted:</w:t>
      </w:r>
    </w:p>
    <w:p>
      <w:pPr>
        <w:spacing w:after="0" w:line="180" w:lineRule="exact"/>
        <w:rPr>
          <w:sz w:val="20"/>
          <w:szCs w:val="20"/>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long-term equity-based compensation that vests based on time and performance criteria, ensuring that the majority of the executive’s compensation is aligned with pay for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cap of 200% on the number of PSUs that can vest;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 clawback policy;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share ownership guidelines that require certain executives and non-employee directors of ours to maintain a minimum level of investment in the Company;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 insider trading policy that prohibits all directors and key members of management of ours and our subsidiaries from engaging in transactions that hedge, limit or otherwise change such individual’s economic interest in and exposure to the full rewards and risks of ownership in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adopted a compensation recovery policy that is compliant with the SEC rules and applicable stock exchange listing rules, as required by the </w:t>
      </w:r>
      <w:r>
        <w:rPr>
          <w:rFonts w:ascii="Times New Roman" w:cs="Times New Roman" w:eastAsia="Times New Roman" w:hAnsi="Times New Roman"/>
          <w:sz w:val="18"/>
          <w:szCs w:val="18"/>
          <w:i w:val="1"/>
          <w:iCs w:val="1"/>
          <w:color w:val="auto"/>
        </w:rPr>
        <w:t>Dodd-Frank Wall Street Reform and Consumer Protection Act of 2010</w:t>
      </w:r>
      <w:r>
        <w:rPr>
          <w:rFonts w:ascii="Times New Roman" w:cs="Times New Roman" w:eastAsia="Times New Roman" w:hAnsi="Times New Roman"/>
          <w:sz w:val="18"/>
          <w:szCs w:val="18"/>
          <w:color w:val="auto"/>
        </w:rPr>
        <w:t>, effective upon Closing.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Share Ownership Guidelines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adopted share ownership guidelines (the “Guidelines”) that align the interests of our executive officers (for purposes of the Guidelines, “Executives”) with shareholders. Pursuant to the Guidelines, Executives are expected to directly or indirectly own Class B Subordinate Voting Shares, Class A Multiple Voting Shares, RSUs that are only subject to time-based vesting conditions, and deferred share units (collectively, “Eligible Shares”), with a value not less than the applicable dollar amount set out below (the “Executive Share Ownership Requirement”):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Share</w:t>
            </w:r>
          </w:p>
        </w:tc>
      </w:tr>
      <w:tr>
        <w:trPr>
          <w:trHeight w:val="216"/>
        </w:trPr>
        <w:tc>
          <w:tcPr>
            <w:tcW w:w="9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45"/>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Role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Requirement</w:t>
            </w:r>
          </w:p>
        </w:tc>
      </w:tr>
      <w:tr>
        <w:trPr>
          <w:trHeight w:val="216"/>
        </w:trPr>
        <w:tc>
          <w:tcPr>
            <w:tcW w:w="9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3x Base Salary</w:t>
            </w:r>
          </w:p>
        </w:tc>
      </w:tr>
      <w:tr>
        <w:trPr>
          <w:trHeight w:val="23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Executives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1x Base Salary</w:t>
            </w: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Executive’s ownership of Eligible Shares will be calculated as of December 31 of each year and compared to the applicable Executive Share Ownership Requirement. An individual will be deemed to have met their Executive Share Ownership Requirement where the product of (i) the number of Eligible Shares they own and (ii) the greater of (A) the original grant value or acquisition cost and (B) current market value, as applicable, exceeds the applicable Executive Share Ownership Requirement.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purposes of determining compliance with the Executive Share Ownership Requirement, amounts paid in any currency other than U.S. dollars will be converted to the U.S. dollar equivalent using the noon spot rate of exchange on the relevant date.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applicable Executive Share Ownership Requirement must be met by fifth anniversary of the date the Executive first becomes subject to the Guidelines (the “Start Date”); provided that Executives who were subject to the Guidelines but are promoted to a level with a higher Executive Share Ownership Requirement have until the fifth anniversary of the date of their promotion to meet the new Executive Share Ownership Requirement. The period between the Start Date and the date on which the Executive must meet their Executive Share Ownership Requirement is the “Acquisition Period”. For existing Executives, the Start Date was the Closing Date.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Executives will be expected to make progress each year towards meeting their applicable Executive Share Ownership Requirement. If as of the anniversary of their Start Date the Executive’s aggregate Eligible Share ownership as a percentage of their applicable Executive Share Ownership Requirement is less than the percentage of the Acquisition Period that has elapsed, then the Executive must retain at least 25% of the net after tax benefit realized by the Executive from the exercise of any stock options or settlement of other awards granted to such Executive as Class B Subordinate Voting Shares or Class A Multiple Voting Shares, or if Awards are settled in cash, apply at least 25% of such after tax benefit to purchase Class B Subordinate Voting Shares or Class A Multiple Voting Shares, until there is no longer a deficiency.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Once the Executive Share Ownership Requirement is met, the Executive is expected to maintain at least that level of ownership of Eligible Shares for the duration of their employment with us. If our Chief Executive Officer retires, then they are expected to continue to own sufficient Eligible Shares to meet their Executive Share Ownership Requirement for at least 12 months following their retirement.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aggregate cash compensation, including any benefits in kind granted, accrued or paid to Old Xanadu’s executive officers with respect to the fiscal year ended December 31, 2025 was $677,069 (converted to U.S. dollars using an exchange rate of CA$1:US$0.7296, being the daily rate of exchange published by the Bank of Canada for conversion of Canadian dollars into U.S. dollars on December 31, 2025). Old Xanadu did not provide pensions, retirement or similar benefits to its executive officers. In addition, for the year ended December 31, 2025, Old Xanadu granted options to its executive officers with an aggregate value of $3,428,515 (converted to U.S. dollars using an exchange rate of CA$1:US$0.7296, being the daily rate of exchange published by the Bank of Canada for conversion of Canadian dollars into U.S. dollars on December 31, 2025).</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out information concerning the expected compensation to be earned by, paid to, or awarded to the NEOs in the fiscal year ending December 31, 2026, as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9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Annual</w:t>
            </w:r>
          </w:p>
        </w:tc>
        <w:tc>
          <w:tcPr>
            <w:tcW w:w="9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0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77"/>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ind w:left="18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tc>
        <w:tc>
          <w:tcPr>
            <w:tcW w:w="1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(3)</w:t>
            </w: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ind w:right="25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(4)</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Christian Weedbrook</w:t>
            </w:r>
            <w:r>
              <w:rPr>
                <w:rFonts w:ascii="Times New Roman" w:cs="Times New Roman" w:eastAsia="Times New Roman" w:hAnsi="Times New Roman"/>
                <w:sz w:val="29"/>
                <w:szCs w:val="29"/>
                <w:color w:val="auto"/>
                <w:vertAlign w:val="superscript"/>
              </w:rPr>
              <w:t>(1)</w:t>
            </w: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218,070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2,349,312</w:t>
            </w: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2,567,382</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Chief Executive Officer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Trzupek</w:t>
            </w:r>
          </w:p>
        </w:tc>
        <w:tc>
          <w:tcPr>
            <w:tcW w:w="7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7"/>
                <w:szCs w:val="17"/>
                <w:color w:val="auto"/>
              </w:rPr>
            </w:pPr>
          </w:p>
        </w:tc>
        <w:tc>
          <w:tcPr>
            <w:tcW w:w="9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465,000</w:t>
            </w:r>
          </w:p>
        </w:tc>
        <w:tc>
          <w:tcPr>
            <w:tcW w:w="102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1,800,000</w:t>
            </w:r>
          </w:p>
        </w:tc>
        <w:tc>
          <w:tcPr>
            <w:tcW w:w="960" w:type="dxa"/>
            <w:vAlign w:val="bottom"/>
            <w:gridSpan w:val="2"/>
          </w:tcPr>
          <w:p>
            <w:pPr>
              <w:ind w:left="5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2,265,000</w:t>
            </w:r>
          </w:p>
        </w:tc>
        <w:tc>
          <w:tcPr>
            <w:tcW w:w="0" w:type="dxa"/>
            <w:vAlign w:val="bottom"/>
          </w:tcPr>
          <w:p>
            <w:pPr>
              <w:spacing w:after="0"/>
              <w:rPr>
                <w:sz w:val="1"/>
                <w:szCs w:val="1"/>
                <w:color w:val="auto"/>
              </w:rPr>
            </w:pPr>
          </w:p>
        </w:tc>
      </w:tr>
      <w:tr>
        <w:trPr>
          <w:trHeight w:val="234"/>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Rafal Janik</w:t>
            </w:r>
            <w:r>
              <w:rPr>
                <w:rFonts w:ascii="Times New Roman" w:cs="Times New Roman" w:eastAsia="Times New Roman" w:hAnsi="Times New Roman"/>
                <w:sz w:val="29"/>
                <w:szCs w:val="29"/>
                <w:color w:val="auto"/>
                <w:vertAlign w:val="superscript"/>
              </w:rPr>
              <w:t>(1)</w:t>
            </w: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313,728</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900,000</w:t>
            </w: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1,213,728</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Chief Operating Officer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line="239" w:lineRule="exact"/>
              <w:rPr>
                <w:sz w:val="20"/>
                <w:szCs w:val="20"/>
                <w:color w:val="auto"/>
              </w:rPr>
            </w:pPr>
            <w:r>
              <w:rPr>
                <w:rFonts w:ascii="Times New Roman" w:cs="Times New Roman" w:eastAsia="Times New Roman" w:hAnsi="Times New Roman"/>
                <w:sz w:val="17"/>
                <w:szCs w:val="17"/>
                <w:color w:val="auto"/>
              </w:rPr>
              <w:t>Rebecca Laramée</w:t>
            </w:r>
            <w:r>
              <w:rPr>
                <w:rFonts w:ascii="Times New Roman" w:cs="Times New Roman" w:eastAsia="Times New Roman" w:hAnsi="Times New Roman"/>
                <w:sz w:val="27"/>
                <w:szCs w:val="27"/>
                <w:color w:val="auto"/>
                <w:vertAlign w:val="superscript"/>
              </w:rPr>
              <w:t>(1)</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207,206</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466,944</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674,150</w:t>
            </w:r>
          </w:p>
        </w:tc>
        <w:tc>
          <w:tcPr>
            <w:tcW w:w="0" w:type="dxa"/>
            <w:vAlign w:val="bottom"/>
          </w:tcPr>
          <w:p>
            <w:pPr>
              <w:spacing w:after="0"/>
              <w:rPr>
                <w:sz w:val="1"/>
                <w:szCs w:val="1"/>
                <w:color w:val="auto"/>
              </w:rPr>
            </w:pPr>
          </w:p>
        </w:tc>
      </w:tr>
      <w:tr>
        <w:trPr>
          <w:trHeight w:val="234"/>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People Officer</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Natalie Wilmore</w:t>
            </w: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375,000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1,200,000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1,575,000</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Legal Officer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have been converted to U.S. dollars using an exchange rate of CA$1:US$0.7296, being the daily rate of exchange published by the Bank of Canada for conversion of Canadian dollars into U.S. dollars on December 31, 2025. Rafal Janik’s share-based awards are reported in USD without conversion.</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base salary expected to be paid in the fiscal year ending December 31, 2026.</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equity grants expected to be made in the form of RSUs and/or PSUs. The allocation of share units between RSUs and PSUs is yet to be determined for awards expected to be made to Christian Weedbrook, Rafal Janik, and Rebecca Laramée. Michael Trzupek is eligible to be granted RSUs with a grant date fair value of $900,000 and PSUs with a grant date fair value of $900,000. Natalie Wilmore is eligible to be granted a retention award of RSUs with a grant date fair value of $300,000, and RSUs with a grant date fair value of $500,000 and PSUs with a grant date fair value of $400,000. The grant date fair values of the share unit awards once made are expected to be the same as the accounting fair values under GAAP ASC 718, but could differ based on final valuations.</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NEOs are entitled to perquisites.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Option-Based Awards and Share-Based Awards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out information concerning the option-based awards and share-based awards granted to the NEOs that were outstanding on the Closing Date, as applicable. Prior to the grants of RSUs and/or PSUs made on or shortly following the Closing Date, none of the NEOs held any share-based awards: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Option-Based Awards </w:t>
            </w:r>
            <w:r>
              <w:rPr>
                <w:rFonts w:ascii="Times New Roman" w:cs="Times New Roman" w:eastAsia="Times New Roman" w:hAnsi="Times New Roman"/>
                <w:sz w:val="29"/>
                <w:szCs w:val="29"/>
                <w:b w:val="1"/>
                <w:bCs w:val="1"/>
                <w:color w:val="auto"/>
                <w:vertAlign w:val="superscript"/>
              </w:rPr>
              <w:t>(2)</w:t>
            </w:r>
          </w:p>
        </w:tc>
        <w:tc>
          <w:tcPr>
            <w:tcW w:w="254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Share-Based Awards</w:t>
            </w:r>
          </w:p>
        </w:tc>
      </w:tr>
      <w:tr>
        <w:trPr>
          <w:trHeight w:val="194"/>
        </w:trPr>
        <w:tc>
          <w:tcPr>
            <w:tcW w:w="2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w:t>
            </w:r>
          </w:p>
        </w:tc>
        <w:tc>
          <w:tcPr>
            <w:tcW w:w="10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Market or</w:t>
            </w: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10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0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Based</w:t>
            </w: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that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w:t>
            </w:r>
          </w:p>
        </w:tc>
        <w:tc>
          <w:tcPr>
            <w:tcW w:w="10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Not</w:t>
            </w: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In-the-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Paid Out</w:t>
            </w: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Money</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not</w:t>
            </w:r>
          </w:p>
        </w:tc>
        <w:tc>
          <w:tcPr>
            <w:tcW w:w="10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Distributed</w:t>
            </w:r>
          </w:p>
        </w:tc>
      </w:tr>
      <w:tr>
        <w:trPr>
          <w:trHeight w:val="245"/>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60" w:type="dxa"/>
            <w:vAlign w:val="bottom"/>
          </w:tcPr>
          <w:p>
            <w:pPr>
              <w:spacing w:after="0"/>
              <w:rPr>
                <w:sz w:val="21"/>
                <w:szCs w:val="21"/>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r>
      <w:tr>
        <w:trPr>
          <w:trHeight w:val="21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Weedbrook</w:t>
            </w:r>
          </w:p>
        </w:tc>
        <w:tc>
          <w:tcPr>
            <w:tcW w:w="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Trzupek</w:t>
            </w: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2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Rafal Janik</w:t>
            </w:r>
            <w:r>
              <w:rPr>
                <w:rFonts w:ascii="Times New Roman" w:cs="Times New Roman" w:eastAsia="Times New Roman" w:hAnsi="Times New Roman"/>
                <w:sz w:val="29"/>
                <w:szCs w:val="29"/>
                <w:color w:val="auto"/>
                <w:vertAlign w:val="superscript"/>
              </w:rPr>
              <w:t>(1)</w:t>
            </w:r>
          </w:p>
        </w:tc>
        <w:tc>
          <w:tcPr>
            <w:tcW w:w="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13, 2019</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332,812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12, 2029</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3,264,886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29, 2020</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565,550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28, 2030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5,548,046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30, 2021</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1,055,251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2031</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10,014,332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5, 2023</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550,678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5, 2033</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4,890,021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18, 2023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538,424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18, 2033</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4,732,747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741,891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1, 2035</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4,384,576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2600" w:type="dxa"/>
            <w:vAlign w:val="bottom"/>
          </w:tcPr>
          <w:p>
            <w:pPr>
              <w:spacing w:after="0" w:line="239" w:lineRule="exact"/>
              <w:rPr>
                <w:sz w:val="20"/>
                <w:szCs w:val="20"/>
                <w:color w:val="auto"/>
              </w:rPr>
            </w:pPr>
            <w:r>
              <w:rPr>
                <w:rFonts w:ascii="Times New Roman" w:cs="Times New Roman" w:eastAsia="Times New Roman" w:hAnsi="Times New Roman"/>
                <w:sz w:val="17"/>
                <w:szCs w:val="17"/>
                <w:color w:val="auto"/>
              </w:rPr>
              <w:t>Rebecca Laramée</w:t>
            </w:r>
            <w:r>
              <w:rPr>
                <w:rFonts w:ascii="Times New Roman" w:cs="Times New Roman" w:eastAsia="Times New Roman" w:hAnsi="Times New Roman"/>
                <w:sz w:val="27"/>
                <w:szCs w:val="27"/>
                <w:color w:val="auto"/>
                <w:vertAlign w:val="superscript"/>
              </w:rPr>
              <w:t>(1)</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People Officer</w:t>
            </w:r>
          </w:p>
        </w:tc>
        <w:tc>
          <w:tcPr>
            <w:tcW w:w="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98,292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2031</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968,176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30, 2021</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49,151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2031</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466,443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2023</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540,601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2033</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4,800,537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2023</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449,181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2033</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3,948,301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98,292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2035</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580,906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Natalie Wilmore</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Legal Officer</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have been converted to U.S. dollars using an exchange rate of CA$1:US$0.7296, being the daily rate of exchange published by the Bank of Canada for conversion of Canadian dollars into U.S. dollars on December 31,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determined using an Exchange Ratio of 11.2837 and assuming a price per Class B Subordinate Voting Share of $10.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Awards — Value Vested or Earned During the Year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sets out, for each of the NEOs, the value of the option-based awards, share-based awards and non-equity incentive plan compensation that vested in accordance with their terms during the fiscal year ending December 31, 2026, as applicable. On or shortly following the Closing Date, we granted the NEOs RSUs and/or PSUs. The RSUs that vested in the fiscal year ending December 31, 2026 are reported in the following table. None of the PSUs are reported as their vesting depends on the satisfaction of performance criteria other than the passage of time, the achievement of which is uncertain.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 Based</w:t>
            </w: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Awards –</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Awards –</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Value Earned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Vested During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Vested During</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During the</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260"/>
              <w:spacing w:after="0" w:line="247" w:lineRule="exact"/>
              <w:rPr>
                <w:sz w:val="20"/>
                <w:szCs w:val="20"/>
                <w:color w:val="auto"/>
              </w:rPr>
            </w:pPr>
            <w:r>
              <w:rPr>
                <w:rFonts w:ascii="Times New Roman" w:cs="Times New Roman" w:eastAsia="Times New Roman" w:hAnsi="Times New Roman"/>
                <w:sz w:val="17"/>
                <w:szCs w:val="17"/>
                <w:b w:val="1"/>
                <w:bCs w:val="1"/>
                <w:color w:val="auto"/>
                <w:w w:val="96"/>
              </w:rPr>
              <w:t>the Year</w:t>
            </w:r>
            <w:r>
              <w:rPr>
                <w:rFonts w:ascii="Times New Roman" w:cs="Times New Roman" w:eastAsia="Times New Roman" w:hAnsi="Times New Roman"/>
                <w:sz w:val="28"/>
                <w:szCs w:val="28"/>
                <w:b w:val="1"/>
                <w:bCs w:val="1"/>
                <w:color w:val="auto"/>
                <w:w w:val="96"/>
                <w:vertAlign w:val="superscript"/>
              </w:rPr>
              <w:t>(2)</w:t>
            </w:r>
          </w:p>
        </w:tc>
        <w:tc>
          <w:tcPr>
            <w:tcW w:w="1320" w:type="dxa"/>
            <w:vAlign w:val="bottom"/>
            <w:gridSpan w:val="2"/>
          </w:tcPr>
          <w:p>
            <w:pPr>
              <w:jc w:val="center"/>
              <w:ind w:right="260"/>
              <w:spacing w:after="0" w:line="247" w:lineRule="exact"/>
              <w:rPr>
                <w:sz w:val="20"/>
                <w:szCs w:val="20"/>
                <w:color w:val="auto"/>
              </w:rPr>
            </w:pPr>
            <w:r>
              <w:rPr>
                <w:rFonts w:ascii="Times New Roman" w:cs="Times New Roman" w:eastAsia="Times New Roman" w:hAnsi="Times New Roman"/>
                <w:sz w:val="17"/>
                <w:szCs w:val="17"/>
                <w:b w:val="1"/>
                <w:bCs w:val="1"/>
                <w:color w:val="auto"/>
                <w:w w:val="96"/>
              </w:rPr>
              <w:t>the Year</w:t>
            </w:r>
            <w:r>
              <w:rPr>
                <w:rFonts w:ascii="Times New Roman" w:cs="Times New Roman" w:eastAsia="Times New Roman" w:hAnsi="Times New Roman"/>
                <w:sz w:val="28"/>
                <w:szCs w:val="28"/>
                <w:b w:val="1"/>
                <w:bCs w:val="1"/>
                <w:color w:val="auto"/>
                <w:w w:val="96"/>
                <w:vertAlign w:val="superscript"/>
              </w:rPr>
              <w:t>(3)</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45"/>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100" w:type="dxa"/>
            <w:vAlign w:val="bottom"/>
            <w:tcBorders>
              <w:top w:val="single" w:sz="8" w:color="auto"/>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Christian Weedbrook</w:t>
            </w:r>
            <w:r>
              <w:rPr>
                <w:rFonts w:ascii="Times New Roman" w:cs="Times New Roman" w:eastAsia="Times New Roman" w:hAnsi="Times New Roman"/>
                <w:sz w:val="29"/>
                <w:szCs w:val="29"/>
                <w:color w:val="auto"/>
                <w:vertAlign w:val="superscript"/>
              </w:rPr>
              <w:t>(1)</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Michael Trzupek</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Rafal Janik</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3,684,323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10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Rebecca Laramée</w:t>
            </w:r>
            <w:r>
              <w:rPr>
                <w:rFonts w:ascii="Times New Roman" w:cs="Times New Roman" w:eastAsia="Times New Roman" w:hAnsi="Times New Roman"/>
                <w:sz w:val="27"/>
                <w:szCs w:val="27"/>
                <w:color w:val="auto"/>
                <w:vertAlign w:val="superscript"/>
              </w:rPr>
              <w:t>(1)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People Officer</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2,356,589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Natalie Wilmore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Legal Officer</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199,980</w:t>
            </w: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Notes:</w:t>
            </w: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have been converted to U.S. dollars using an exchange rate of CA$1:US$0.7296, being the daily rate of exchange published by the Bank of Canada for conversion of Canadian dollars into U.S. dollars on December 31, 2025.</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determined using an Exchange Ratio of 11.2837 and assuming a price per Class B Subordinate Voting Share of $10 on each vesting date.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determined assuming a price per Class B Subordinate Voting Share of $10 as of the grant date and on each vesting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Termination and Change in Control Benefits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NEOs have entered into written employment agreements, which were assumed by the Company in connection with the Closing. The Chief Financial Officer and Chief Legal Officer entered into written employment agreements with Old Xanadu’s U.S.-based subsidiary. New agreements in respect of the remaining NEOs’ post-Closing employment arrangements are still being negotiated.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Michael Trzupek, Chief Financial Officer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Mr. Trzupek’s employment agreement provides for his base salary of $465,000. Upon the establishment of an annual incentive program, he will be eligible for an annual bonus, with an annual target bonus opportunity of no less than 50% of his base salary. He is eligible to receive equity awards, including (a) restricted share units with a grant date value of $900,000, one-third of which will vest on the first anniversary of his start date with the remainder vesting in equal quarterly installments over the following two years, and (b) performance share units with a grant date value of $900,000 which will vest based on achievement of pre-determined share price hurdles prior to the fifth anniversary of the grant date. He is entitled to be considered for annual equity grants with values no lower than those described for his initial grants.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Mr. Trzupek’s employment is terminated without cause, he will be entitled to severance equal to his then-current base salary for twelve months, paid in installments. He is also entitled to continued payment of COBRA premiums for up to twelve months following termination. Additionally, he is entitled to a pro-rata bonus for the year in which termination occurs based on achievement of applicable performance goals, and, unless otherwise specified in the applicable award agreement, all equity awards will continue to vest during the twelve-month severance period. The payment of severance benefits is conditioned on Mr. Trzupek executing a general release of claims within sixty days following his separation from service.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Mr. Trzupek resigns from his employment for good reason (including a material reduction in duties, a material reduction in base salary greater than 10%, or relocation of his principal place of employment by 50 or more miles), he will be eligible to receive the same severance benefits as if his employment had been terminated without cause.</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If Mr. Trzupek’s employment is terminated without cause or he resigns for good reason within six months following a change in control (excluding any de-SPAC, initial public offering, or similar transaction), he will be entitled to receive severance benefits as provided above, accelerated vesting of all restricted share units or other time-based equity awards, and other fringe benefits no less favorable than those provided to other similarly situated senior executives.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Trzupek’s employment agreement also contains customary provisions regarding confidentiality, non-competition (for a period of one year following the termination date), non-solicitation (for a period of one year following the termination date), and assignment of intellectual property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Natalie Wilmore, Chief Legal Officer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Ms. Wilmore’s employment agreement provides for her base salary of $375,000. She is eligible to receive equity awards, including (a) a restricted share unit award with a grant date value of $300,000 which will vest in equal quarterly installments over three years, (b) restricted share units with a grant date value of $500,000 which will vest in equal quarterly installments over three years, and (c) performance share units with a grant date value of $400,000 which will vest based on achievement of pre-determined share price hurdles prior to the fifth anniversary of the grant date. She is entitled to be considered for annual equity grants with values no lower than those described for her initial restricted share unit and performance share unit grants.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Ms. Wilmore’s employment is terminated without cause, she will be entitled to severance equal to her then-current base salary for six months, paid in installments. She is also entitled to continued payment of COBRA health continuation coverage premiums for up to six months following termination. The payment of severance benefits is conditioned on Ms. Wilmore executing a general release of claims within sixty days following her separation from service.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Ms. Wilmore resigns from her employment for good reason (including a material reduction in duties, a material reduction in base salary greater than 10%, or relocation of her principal place of employment by 50 or more miles), she will be eligible to receive the same severance benefits as if her employment had been terminated without cause.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Ms. Wilmore’s employment agreement also contains customary provisions regarding confidentiality, non-competition (for a period of one year following the termination date), non-solicitation (for a period of one year following the termination date), and assignment of intellectual property rights.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incremental payments that would be made to the NEOs under the terms of their employment agreements upon the occurrence of certain events if such events were to occur immediately following the Closing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29"/>
                <w:szCs w:val="29"/>
                <w:b w:val="1"/>
                <w:bCs w:val="1"/>
                <w:color w:val="auto"/>
                <w:vertAlign w:val="superscript"/>
              </w:rPr>
              <w:t>(2)</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040" w:type="dxa"/>
            <w:vAlign w:val="bottom"/>
            <w:gridSpan w:val="2"/>
            <w:vMerge w:val="continue"/>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1"/>
                <w:szCs w:val="21"/>
                <w:color w:val="auto"/>
              </w:rPr>
            </w:pPr>
          </w:p>
        </w:tc>
        <w:tc>
          <w:tcPr>
            <w:tcW w:w="33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Event</w:t>
            </w: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00" w:type="dxa"/>
            <w:vAlign w:val="bottom"/>
            <w:tcBorders>
              <w:top w:val="single" w:sz="8" w:color="auto"/>
            </w:tcBorders>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Christian Weedbrook</w:t>
            </w:r>
            <w:r>
              <w:rPr>
                <w:rFonts w:ascii="Times New Roman" w:cs="Times New Roman" w:eastAsia="Times New Roman" w:hAnsi="Times New Roman"/>
                <w:sz w:val="27"/>
                <w:szCs w:val="27"/>
                <w:color w:val="auto"/>
                <w:vertAlign w:val="superscript"/>
              </w:rPr>
              <w:t>(1)</w:t>
            </w:r>
          </w:p>
        </w:tc>
        <w:tc>
          <w:tcPr>
            <w:tcW w:w="100" w:type="dxa"/>
            <w:vAlign w:val="bottom"/>
            <w:tcBorders>
              <w:top w:val="single" w:sz="8" w:color="CCEEFF"/>
            </w:tcBorders>
            <w:shd w:val="clear" w:color="auto" w:fill="CCEEFF"/>
          </w:tcPr>
          <w:p>
            <w:pPr>
              <w:spacing w:after="0"/>
              <w:rPr>
                <w:sz w:val="20"/>
                <w:szCs w:val="20"/>
                <w:color w:val="auto"/>
              </w:rPr>
            </w:pPr>
          </w:p>
        </w:tc>
        <w:tc>
          <w:tcPr>
            <w:tcW w:w="33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Michael Trzupek</w:t>
            </w: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Termination without Cause</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465,000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67,362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832,362</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Resignation for Good Reason</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465,000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67,362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832,362</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Termination for Cause</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Resignation (without Good Reason)</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Death or Disability</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Discontinuance of Business</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Termination without Cause or Resignation for</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 Reason within 6 months following</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 of Control</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465,000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1,800,000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67,362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2,332,362</w:t>
            </w:r>
          </w:p>
        </w:tc>
        <w:tc>
          <w:tcPr>
            <w:tcW w:w="0" w:type="dxa"/>
            <w:vAlign w:val="bottom"/>
          </w:tcPr>
          <w:p>
            <w:pPr>
              <w:spacing w:after="0"/>
              <w:rPr>
                <w:sz w:val="1"/>
                <w:szCs w:val="1"/>
                <w:color w:val="auto"/>
              </w:rPr>
            </w:pPr>
          </w:p>
        </w:tc>
      </w:tr>
      <w:tr>
        <w:trPr>
          <w:trHeight w:val="238"/>
        </w:trPr>
        <w:tc>
          <w:tcPr>
            <w:tcW w:w="370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Rafal Janik</w:t>
            </w:r>
            <w:r>
              <w:rPr>
                <w:rFonts w:ascii="Times New Roman" w:cs="Times New Roman" w:eastAsia="Times New Roman" w:hAnsi="Times New Roman"/>
                <w:sz w:val="27"/>
                <w:szCs w:val="27"/>
                <w:color w:val="auto"/>
                <w:vertAlign w:val="superscript"/>
              </w:rPr>
              <w:t>(1)</w:t>
            </w: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70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Rebecca Laramée</w:t>
            </w:r>
            <w:r>
              <w:rPr>
                <w:rFonts w:ascii="Times New Roman" w:cs="Times New Roman" w:eastAsia="Times New Roman" w:hAnsi="Times New Roman"/>
                <w:sz w:val="27"/>
                <w:szCs w:val="27"/>
                <w:color w:val="auto"/>
                <w:vertAlign w:val="superscript"/>
              </w:rPr>
              <w:t>(1)</w:t>
            </w: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People Officer</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Natalie Wilmore</w:t>
            </w: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Legal Officer</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 without Cause</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203,047</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Resignation for Good Reason</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203,047</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for Cause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Resignation (without Good Reason)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or Disability</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Discontinuance of Business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have been converted to U.S. dollars using an exchange rate of CA$1:US$0.7296, being the daily rate of exchange published by the Bank of Canada for conversion of Canadian dollars into U.S. dollars on December 31, 2025.</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assume a price per Class B Subordinate Voting Share of $10, and exclude the value of PSUs as their vesting depends on the satisfaction of performance criteria other than the passage of time, the achievement of which is uncertain. However, in the event of his termination without Cause or resignation for Good Reason within six months following a change in control, Michael Trzupek’s outstanding PSUs vest with performance to be determined by our Board. The foregoing assumes achievement at target.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directors’ compensation program is designed to attract and retain the most qualified individuals to serve on our Board. Our Board, through the Governance, Compensation and Nominating Committee, is responsible for reviewing and approving any changes to the directors’ compensation arrangements. In consideration for serving on our Board, each director that is not an employee is paid an annual retainer which may, at our Board’s discretion, be paid in cash or in some combination of cash and DSUs and is reimbursed for their reasonable out-of-pocket expenses incurred while serving as directors. We do not pay meeting fees. Mr. Weedbrook does not receive additional compensation for serving as a director on our Board.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benchmark our non-employee director compensation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compensation peer group.</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chart below outlines our compensation for non-employee directors. Non-employee directors each receive a cash and equity retainer for serving on our Board and a cash retainer for serving on a committee of our Board.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Retainer</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Retainer</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45"/>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Fee</w:t>
            </w:r>
          </w:p>
        </w:tc>
        <w:tc>
          <w:tcPr>
            <w:tcW w:w="120" w:type="dxa"/>
            <w:vAlign w:val="bottom"/>
          </w:tcPr>
          <w:p>
            <w:pPr>
              <w:spacing w:after="0"/>
              <w:rPr>
                <w:sz w:val="21"/>
                <w:szCs w:val="21"/>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Role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Retainer</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Board Member</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175,500</w:t>
            </w: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Committee Retainer Audit Committee</w:t>
            </w:r>
          </w:p>
        </w:tc>
        <w:tc>
          <w:tcPr>
            <w:tcW w:w="120" w:type="dxa"/>
            <w:vAlign w:val="bottom"/>
          </w:tcPr>
          <w:p>
            <w:pPr>
              <w:spacing w:after="0"/>
              <w:rPr>
                <w:sz w:val="17"/>
                <w:szCs w:val="17"/>
                <w:color w:val="auto"/>
              </w:rPr>
            </w:pPr>
          </w:p>
        </w:tc>
        <w:tc>
          <w:tcPr>
            <w:tcW w:w="21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Chair Member</w:t>
            </w:r>
          </w:p>
        </w:tc>
        <w:tc>
          <w:tcPr>
            <w:tcW w:w="12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19,000</w:t>
            </w: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19,000</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Governance, Compensation and Nominating Committee</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Chair Member</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r>
      <w:tr>
        <w:trPr>
          <w:trHeight w:val="216"/>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Share Ownership Guidelines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adopted Guidelines that align the interests of our non-employee directors with shareholders. Pursuant to these Guidelines, non-employee directors are expected to directly or indirectly own Eligible Shares (which, for a non-employee director, include Class B Subordinate Voting Shares, Class A Multiple Voting Shares, and deferred share units) with a value not less than 3 times their annual Board membership retainer, or, in the case of the chair of our Board, their annual chair retainer (the “Director Share Ownership Requirement”).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non-employee director’s ownership of Eligible Shares will be calculated as of December 31 of each year and compared to the Director Share Ownership Requirement. An individual will be deemed to have met their Director Share Ownership Requirement where the product of (i) the number of Eligible Shares they own and (ii) the greater of (A) the original grant value or acquisition cost and (B) current market value, as applicable, exceeds the applicable Director Share Ownership Requirement.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purposes of determining compliance with the Director Share Ownership Requirement, amounts paid in any currency other than U.S. dollars will be converted to the U.S. dollar equivalent using the noon spot rate of exchange on the relevant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applicable Director Share Ownership Requirement must be met by fifth anniversary of the non-employee director’s Start Date. The period between the Start Date and the date on which the non-employee director must meet their Director Share Ownership Requirement is the “Acquisition Period”. For existing non-employee directors, the Start Date shall be the Closing Date.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Non-employee directors are expected to make progress each year towards meeting their applicable Director Share Ownership Requirement. If as of the anniversary of their Start Date the non-employee director’s aggregate Eligible Share ownership as a percentage of their applicable Director Share Ownership Requirement is less than the percentage of the Acquisition Period that has elapsed, then if the non-employee director is given the opportunity to do so, they must retain at least 25% of their annual Board membership retainer (or in the case of the chair of our Board, the annual chair retainer) in DSUs or RSUs, until there is no longer a deficiency.</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Once the Director Share Ownership Requirement is met, the non-employee director is expected to maintain at least that level of ownership of Eligible Shares for the duration of their engagement with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Plan</w:t>
      </w:r>
    </w:p>
    <w:p>
      <w:pPr>
        <w:spacing w:after="0" w:line="22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Non-employee directors are granted DSUs under the Omnibus Plan in respect of the part of the retainer to be paid in equity.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Elements of Compensation — Long-Term Incentive Plan”.</w:t>
      </w:r>
    </w:p>
    <w:p>
      <w:pPr>
        <w:spacing w:after="0" w:line="16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Following the end of an eligible director’s tenure as a member of our Board, the director receives Class B Subordinate Voting Shares, a payment in cash based on the fair market value of the Class B Subordinate Voting Shares represented by their DSUs, or a combination of the two.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Old Xanadu did not provide any compensation to its non-employee directors with respect to the fiscal year ended December 31, 2025, and did not grant equity awards to its non-employee directors.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out information concerning the expected compensation to be earned by, paid to, or awarded to the non-employee directors during the fiscal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7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20" w:type="dxa"/>
            <w:vAlign w:val="bottom"/>
          </w:tcPr>
          <w:p>
            <w:pPr>
              <w:spacing w:after="0"/>
              <w:rPr>
                <w:sz w:val="24"/>
                <w:szCs w:val="24"/>
                <w:color w:val="auto"/>
              </w:rPr>
            </w:pPr>
          </w:p>
        </w:tc>
        <w:tc>
          <w:tcPr>
            <w:tcW w:w="78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4"/>
                <w:szCs w:val="24"/>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4"/>
                <w:szCs w:val="24"/>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r>
      <w:tr>
        <w:trPr>
          <w:trHeight w:val="216"/>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Glenda Dorchak</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77,000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140,000</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(Bill) Fradin</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51,500</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140,000</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191,500</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Eliot Pence</w:t>
            </w: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43,500</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140,000</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183,500</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Reynolds</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54,500</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140,000</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194,500</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Heidi Shyu</w:t>
            </w: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43,500</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140,000</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line="282"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represents the cash retainer payable to all board members and is subject to change as board and committee responsibilities are finalized.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the expected grant date fair value of DSU awards. The number of DSUs expected to be credited to each non-employee director is expected to be determined by dividing the amount to be paid in DSUs as of the award date by the price per Class B Subordinate Voting Share. The grant date fair values of the DSUs once made are expected to be the same as the accounting fair values under GAAP ASC 718.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Awards — Value Vested or Earned During the Year</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out, for each of the non-employee directors, the value of the option-based awards, share-based awards and non-equity incentive plan compensation expected to vest in accordance with their terms during the fiscal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 Plan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Option-Based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Awards –</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Awards –</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 Value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Earned</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Vested During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Vested During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During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the Year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the Year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the Year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Glenda Dorchak</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140,000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(Bill) Fradin</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140,000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Eliot Pence</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140,000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Reynolds</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140,000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Heidi Shyu</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140,000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 Awards — Outstanding Option-Based Awards and Share-Based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non-employee directors held outstanding option-based awards or share-based awards on the Closing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description of our share capital summarizes certain provisions contained in the Articles and By-laws. The following description does not purport to be complete and is subject to, and qualified in its entirety by reference to, the terms and provisions of the Articles and By-laws.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an unlimited number of Class A Multiple Voting Shares, an unlimited number of Class B Subordinate Voting Shares, and an unlimited number of Preferred Shares, issuable in series.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May 14, 2026, our share capital consisted of 255,226,928 Xanadu Class A Multiple Voting Shares issued and outstanding, 43,284,411 Xanadu Class B Subordinate Voting Shares issued and outstanding and no Preferred Shares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Class B Subordinate Voting Shares and Class A Multiple Voting Shares have the same rights and privileges except that Class B Subordinate Voting Shares have one vote per share and the Class A Multiple Voting Shares have ten votes per share. Class A Multiple Voting Shares are subject to typical transfer restrictions and sunset provisions.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Class A Multiple Voting Shares and the Class B Subordinate Voting Shares rank pari passu with respect to the payment of dividends, return of capital and distribution of assets in the event of the liquidation, dissolution or winding up of the Company. In the event of the liquidation, dissolution or winding-up of the Company or any other distribution of its assets among its shareholders for the purpose of winding-up its affairs, whether voluntarily or involuntarily, the holders of Class A Multiple Voting Shares and the Class B Subordinate Voting Shares are entitled to participate equally in the remaining property and assets of the Company available for distribution to the holders of Shares, without preference or distinction among or between the Class A Multiple Voting Shares and the Class B Subordinate Voting Shares, subject to the rights of the holders of any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outstanding Shares are entitled to receive dividends on a share for share basis at such times and in such amounts and form as the Board may from time to time determine, but subject to the rights of the holders of Preferred Shares and the shares of any other class ranking senior to the Shares, without preference or distinction among or between the Class B Subordinate Voting Shares and the Class A Multiple Voting Shares. Under the OBCA, the Company is permitted to pay dividends unless there are reasonable grounds for believing that: (i) the Company is, or would after such payment be, unable to pay its liabilities as they become due; or (ii) the realizable value of the Company’s assets would, as a result of such payment, be less than the aggregate of the Company’s liabilities and stated capital of all classes of shares. In the event of a payment of a dividend in the form of shares, Class B Subordinate Voting Shares would be distributed with respect to outstanding Class B Subordinate Voting Shares and Class A Multiple Voting Shares would be distributed with respect to outstanding Class A Multiple Voting Shares, unless otherwise determined by the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 and Notices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our articles, the holders of Shares are entitled to receive notice of and to attend any meeting of the Shareholders, except meetings at which only holders of a different class or series of shares of the Company are entitled to vote.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each such meeting, each Class A Multiple Voting Share is entitled to ten votes per share and each Class B Subordinate Voting Share is entitled to one vote per share, voting together as a single class, except as otherwise expressly provided in our articles or as provided by law.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i w:val="1"/>
          <w:iCs w:val="1"/>
          <w:color w:val="auto"/>
        </w:rPr>
        <w:t>Conversion and Transfer</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Class B Subordinate Voting Shares are not convertible into any other class of shares. Each outstanding Class A Multiple Voting Share may at any time, at the option of the holder, be converted into one fully paid and non-assessable Class B Subordinate Voting Share. Upon the first date upon which there is a Transfer (as defined below) of a Class A Multiple Voting Share by a holder of Class A Multiple Voting Shares, other than to a Permitted Holder (as defined below) or from any such Permitted Holder back to such holder of Class A Multiple Voting Shares and/or any other Permitted Holder of such holder of Class A Multiple Voting Shares, the holder thereof, without any further action, shall automatically be deemed to have exercised his, her or its rights to convert such Class A Multiple Voting Share into a fully paid and non-assessable Class B Subordinate Voting Share, on a share for share basis, effective immediately upon such Transfer.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all Class A Multiple Voting Shares, regardless of the holder, will convert automatically into Class B Subordinate Voting Shares at the close of business on the date on which the outstanding Class A Multiple Voting Shares represent less than 5% of the aggregate number of outstanding Class B Subordinate Voting Shares and Class A Multiple Voting Shares as a group. Upon such occurrence and without any further action, the authorized and unissued Class A Multiple Voting Shares as a class will be deleted entirely from the authorized capital of the Company.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establish policies and procedures relating to the conversion of the Class A Multiple Voting Shares to Class B Subordinate Voting Shares and the general administration of this dual class share structure as it may deem necessary or advisable.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purposes of the foregoing:</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which directly or indirectly through one or more intermediaries controls, is controlled by, or is under common control with, such specified Person;</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Members of the Immediate Family</w:t>
      </w:r>
      <w:r>
        <w:rPr>
          <w:rFonts w:ascii="Times New Roman" w:cs="Times New Roman" w:eastAsia="Times New Roman" w:hAnsi="Times New Roman"/>
          <w:sz w:val="18"/>
          <w:szCs w:val="18"/>
          <w:color w:val="auto"/>
        </w:rPr>
        <w:t xml:space="preserve">” means with respect to any individual, each parent (whether by birth or adoption), spouse, child or other descendants (whether by birth or adoption) of such individual, each spouse of any of the aforementioned Persons, each trust created solely for the benefit of such individual and/or one or more of the aforementioned Persons, and each legal representative of such individual or of any aforementioned Persons (including without limitation a tutor, curator, mandatary due to incapacity, custodian, guardian or testamentary executor), acting in such capacity under the authority of the law, an order from a competent tribunal, a will or a mandate in case of incapacity or similar instrument. For the purposes of this definition, a Person shall be considered the spouse of an individual if such Person is legally married to such individual, lives in a civil union with such individual or is the common law partner (as defined in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as amended from time to time) of such individual. A Person who was the spouse of an individual within the meaning of this paragraph immediately before the death of such individual shall continue to be considered a spouse of such individual after the death of such individual;</w:t>
      </w:r>
    </w:p>
    <w:p>
      <w:pPr>
        <w:spacing w:after="0" w:line="18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Holders</w:t>
      </w:r>
      <w:r>
        <w:rPr>
          <w:rFonts w:ascii="Times New Roman" w:cs="Times New Roman" w:eastAsia="Times New Roman" w:hAnsi="Times New Roman"/>
          <w:sz w:val="18"/>
          <w:szCs w:val="18"/>
          <w:color w:val="auto"/>
        </w:rPr>
        <w:t>” means, in respect of a holder of Class A Multiple Voting Shares that is an individual, the Members of the Immediate Family of such individual and any Person controlled, directly or indirectly, by any such holder, and in respect of a holder of Class A Multiple Voting Shares that is not an individual, an Affiliate of that holder;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corporation, company, association, trust, joint venture or limited liability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collectively, the Class A Multiple Voting Shares and the Class B Subordinate Voting Shares.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of a Class A Multiple Voting Share shall mean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(1) a transfer of a Class A Multiple Voting Share to a broker or other nominee (regardless of whether or not there is a corresponding change in beneficial ownership) or (2) the transfer of, or entering into a binding agreement with respect to, Voting Control over a Class A Multiple Voting Share by proxy or otherwise, provided, however, that the following shall not be considered a “Transfer”: (a) the grant of a proxy to the Company officers or directors at the request of the Board in connection with actions to be taken at an annual or special meeting of shareholders; or</w:t>
      </w:r>
    </w:p>
    <w:p>
      <w:pPr>
        <w:spacing w:after="0" w:line="4" w:lineRule="exact"/>
        <w:rPr>
          <w:sz w:val="20"/>
          <w:szCs w:val="20"/>
          <w:color w:val="auto"/>
        </w:rPr>
      </w:pPr>
    </w:p>
    <w:p>
      <w:pPr>
        <w:jc w:val="both"/>
        <w:ind w:firstLine="8"/>
        <w:spacing w:after="0" w:line="255" w:lineRule="auto"/>
        <w:tabs>
          <w:tab w:leader="none" w:pos="2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a Class A Multiple Voting Share that creates a mere security interest in such share pursuant to a bona fide loan or indebtedness transaction so long as the holder of the Class A Multiple Voting Share continues to exercise Voting Control over such pledged shares; provided, however, that a foreclosure on such Class A Multiple Voting Share or other similar action by the pledgee shall constitute a “Transfer”;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61" w:name="page162"/>
    <w:bookmarkEnd w:id="161"/>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Control</w:t>
      </w:r>
      <w:r>
        <w:rPr>
          <w:rFonts w:ascii="Times New Roman" w:cs="Times New Roman" w:eastAsia="Times New Roman" w:hAnsi="Times New Roman"/>
          <w:sz w:val="18"/>
          <w:szCs w:val="18"/>
          <w:color w:val="auto"/>
        </w:rPr>
        <w:t>” with respect to a Class A Multiple Voting Share means the exclusive power (whether directly or indirectly) to vote or direct the voting of such Class A Multiple Voting Share by proxy, voting agreement or otherwise; and</w:t>
      </w:r>
    </w:p>
    <w:p>
      <w:pPr>
        <w:spacing w:after="0" w:line="1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Person is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by another Person or other Persons if: (1) in the case of a company or other body corporate wherever or however incorporated: (A) securities entitled to vote in the election of directors carrying in the aggregate at least a majority of the votes for the election of directors and representing in the aggregate at least a majority of the participating (equity) securities are held, other than by way of security only, directly or indirectly, by or solely for the benefit of the other Person or Persons; and (B) the votes carried in the aggregate by such securities are entitled, if exercised, to elect a majority of the board of directors of such company or other body corporate; or (2) in the case of a Person that is not a company or other body corporate, at least a majority of the participating (equity) and voting interests of such Person are held, directly or indirectly, by or solely for the benefit of the other Person or Persons; and “controls”, “controlling” and “under common control with” shall be interpreted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Subdivision or Consolidation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subdivision or consolidation of the Class B Subordinate Voting Shares or the Class A Multiple Voting Shares may be carried out unless, at the same time, the Class A Multiple Voting Shares or the Class B Subordinate Voting Shares, as the case may be, are subdivided or consolidated in the same manner and on the same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Class Votes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required by the OBCA, applicable securities laws or our articles, holders of Class B Subordinate Voting Shares and Class A Multiple Voting Shares vote together on all matters subject to a vote of holders of both those classes of shares as if they were one class of shares. Under the OBCA, certain types of amendments to our articles are subject to approval by special resolution of the holders of classes of shares voting separately as a class, including amendments to:</w:t>
      </w:r>
    </w:p>
    <w:p>
      <w:pPr>
        <w:spacing w:after="0" w:line="180"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rights, privileges, restrictions or conditions attached to the shares of that class;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rights or privileges of any class of shares having rights or privileges equal or superior to the shares of that class;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class of shares having rights or privileges inferior to the shares of such class equal or superior to the shares of that class.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Without limiting other rights at law of any holders of Class B Subordinate Voting Shares or Class A Multiple Voting Shares to vote separately as a class, neither the holders of the Class B Subordinate Voting Shares nor the holders of the Class A Multiple Voting Shares shall be entitled to vote separately as a class upon a proposal to amend our articles in the case of an amendment to: (i) increase or decrease any maximum number of authorized shares of such class, or increase any maximum number of authorized shares of a class having rights or privileges equal or superior to the shares of such class; or (ii) create a new class of shares equal or superior to the shares of such class, which rights are otherwise provided for in paragraphs (a) and (e) of subsection 170(1) of the OBCA. In addition, pursuant to our articles, neither holders of Class B Subordinate Voting Shares nor holders of Class A Multiple Voting Shares will be entitled to vote separately as a class upon a proposal to amend our articles to effect an exchange, reclassification or cancellation of all or part of the shares of such class pursuant to Section 170(1)(b) of the OBCA unless such exchange, reclassification or cancellation: (i) affects only the holders of that class; or</w:t>
      </w:r>
    </w:p>
    <w:p>
      <w:pPr>
        <w:ind w:firstLine="8"/>
        <w:spacing w:after="0" w:line="260" w:lineRule="auto"/>
        <w:tabs>
          <w:tab w:leader="none" w:pos="27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affects the holders of Class B Subordinate Voting Shares and Class A Multiple Voting Shares differently, on a per share basis, and such holders are not already otherwise entitled to vote separately as a class under any applicable law or our articles in respect of such exchange, reclassification or cancellation.</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articles, holders of Class B Subordinate Voting Shares and Class A Multiple Voting Shares will be treated equally and identically, on a per share basis, in certain change of control transactions that require approval of Shareholders under the OBCA, unless different treatment of the shares of each such class is approved by a majority of the votes cast by the holders of Class B Subordinate Voting Shares who voted in respect of that resolution and by a majority of the votes cast by the holders of outstanding Class A Multiple Voting Shares, who voted in respect of that resolution, each voting separately as a class at a meeting of the holders of that class called and held for such purpose.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i w:val="1"/>
          <w:iCs w:val="1"/>
          <w:color w:val="auto"/>
        </w:rPr>
        <w:t>Take-Over Bid Protection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applicable Canadian law, an offer to purchase Class A Multiple Voting Shares would not necessarily require that an offer be made to purchase Class B Subordinate Voting Shares. In accordance with the rules of the TSX designed to ensure that, in the event of a take-over bid, the holders of Class B Subordinate Voting Shares will be entitled to participate on an equal footing with holders of Class A Multiple Voting Shares, the holders of not less than 80% of the then outstanding Class A Multiple Voting Shares entered into a customary coattail agreement with a trustee (the “Coattail Agreement”). The Coattail Agreement contains provisions customary for dual class, TSX-listed corporations designed to prevent transactions that otherwise would deprive the holders of Class B Subordinate Voting Shares of rights under the take-over bid provisions of applicable Canadian securities legislation to which they would have been entitled had the Class A Multiple Voting Shares been Class B Subordinate Voting Shares.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undertakings in the Coattail Agreement will not apply to prevent a sale of Class A Multiple Voting Shares by a holder of Class A Multiple Voting Shares party to the Coattail Agreement if concurrently an offer is made to purchase Class B Subordinate Voting Shares that:</w:t>
      </w:r>
    </w:p>
    <w:p>
      <w:pPr>
        <w:spacing w:after="0" w:line="162" w:lineRule="exact"/>
        <w:rPr>
          <w:sz w:val="20"/>
          <w:szCs w:val="20"/>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 price per Class B Subordinate Voting Share at least as high as the highest price per share paid or required to be paid pursuant to the take-over bid for the Class A Multiple Voting Shares;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percentage of outstanding Class B Subordinate Voting Shares to be taken up (exclusive of shares owned immediately prior to the offer by the offeror or persons acting jointly or in concert with the offeror) is at least as high as the percentage of outstanding Class A Multiple Voting Shares to be sold (exclusive of Class A Multiple Voting Shares owned immediately prior to the offer by the offeror and persons acting jointly or in concert with the offeror);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condition attached other than the right not to take up and pay for Class B Subordinate Voting Shares tendered if no shares are purchased pursuant to the offer for Class A Multiple Voting Shares;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all other material respects identical to the offer for Class A Multiple Voting Shares.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Coattail Agreement will not prevent the sale of Class A Multiple Voting Shares by a holder thereof to a Permitted Holder, provided such sale does not or would not constitute a take-over bid or, if so, is exempt or would be exempt from the formal bid requirements (as defined in applicable securities legislation). The conversion of Class A Multiple Voting Shares into Class B Subordinate Voting Shares shall not, in and of itself, constitute a sale of Class A Multiple Voting Shares for the purposes of the Coattail Agreement.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Coattail Agreement, any sale of Class A Multiple Voting Shares (including a transfer to a pledgee as security) by a holder of Class A Multiple Voting Shares party to the Coattail Agreement will be conditional upon the transferee or pledgee becoming a party to the Coattail Agreement, to the extent such transferred Class A Multiple Voting Shares are not automatically converted into Class B Subordinate Voting Shares in accordance with our articles.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Coattail Agreement contains provisions for authorizing action by the trustee to enforce the rights under the Coattail Agreement on behalf of the holders of the Class B Subordinate Voting Shares. The obligation of the trustee to take such action will be conditional on the Company or holders of the Class B Subordinate Voting Shares providing such funds and indemnity as the trustee may require. No holder of Class B Subordinate Voting Shares will have the right, other than through the trustee, to institute any action or proceeding or to exercise any other remedy to enforce any rights arising under the Coattail Agreement unless the trustee fails to act on a request authorized by holders of not less than 10% of the outstanding Class B Subordinate Voting Shares and reasonable funds and indemnity have been provided to the trustee.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Coattail Agreement provides that it may not be amended, and no provision thereof may be waived, unless, prior to giving effect to such amendment or waiver, the following have been obtained: (i) the consent of the TSX and any other applicable securities regulatory authority in Canada and</w:t>
      </w:r>
    </w:p>
    <w:p>
      <w:pPr>
        <w:jc w:val="both"/>
        <w:ind w:firstLine="8"/>
        <w:spacing w:after="0" w:line="227" w:lineRule="auto"/>
        <w:tabs>
          <w:tab w:leader="none" w:pos="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not less than 66</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of the votes cast by holders of Class B Subordinate Voting Shares represented at a meeting duly called for the purpose of considering such amendment or waiver, excluding votes attached to Class B Subordinate Voting Shares held directly or indirectly by holders of Class A Multiple Voting Shares, their affiliates and related parties and any persons who have an agreement to purchase Class A Multiple Voting Shares on terms which would constitute a sale for purposes of the Coattail Agreement other than as permitted thereby.</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provision of the Coattail Agreement limits the rights of any holders of Class B Subordinate Voting Shares under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an unlimited number of Preferred Shares issuable in series. Each series of Preferred Shares shall consist of such number of shares and having such rights, privileges, restrictions and conditions as may be determined by the Board prior to the issuance thereof. Holders of Preferred Shares, except as otherwise provided in the terms specific to a series of Preferred Shares or as required by law, are not entitled to vote at meetings of holders of shares, and are not entitled to vote separately as a class upon a proposal to amend our articles in the case of an amendment of the kind referred to in paragraph (a), (b) or (e) of subsection 170(1) of the OBCA. With respect to the payment of dividends and distribution of assets in the event of liquidation, dissolution or winding-up of the Company, whether voluntary or involuntary, the Preferred Shares are entitled to preference over the Class B Subordinate Voting Shares, Class A Multiple Voting Shares and any other shares ranking junior to the Preferred Shares from time to time and may also be given such other preferences over Class B Subordinate Voting Shares, Class A Multiple Voting Shares and any other shares ranking junior to the Preferred Shares as may be determined at the time of creation of such series.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issuance of Preferred Shares and the terms selected by the Board could decrease the amount of earnings and assets available for distribution to holders of Class B Subordinate Voting Shares and Class A Multiple Voting Shares or adversely affect the rights and powers, including the voting rights, of the holders of Class B Subordinate Voting Shares and Class A Multiple Voting Shares without any further vote or action by the holders of Class B Subordinate Voting Shares and Class A Multiple Voting Shares. The issuance of Preferred Shares, or the issuance of rights to purchase Preferred Shares, could make it more difficult for a third-party to acquire a majority of outstanding voting shares and thereby have the effect of delaying, deferring or preventing a change of control of the Company or an unsolicited acquisition proposal or of making the removal of management more difficult. Additionally, the issuance of Preferred Shares may have the effect of decreasing the market price of Class B Subordinate Voting Shares.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no current intention to issue any Preferred Shares. The Company has filed an undertaking with the OSC pursuant to which the Company has agreed to provide reasonable prior notice to the OSC in the event that the Company intends to issue a series of preference shares that: (a) carry a greater number of votes on a per share basis, irrespective of the number or percentage of preference shares owned, than the Class A Multiple Voting Shares or the Class B Subordinate Voting Shares; or (b) would cause any of the factors set out in section 4.1 of OSC Rule 56-501 Restricted Shares to be present in relation to the Class A Multiple Voting Shares or the Class B Subordinate Voting Shares, regardless of any existing restrictions on the Class A Multiple Voting Shares or the Class B Subordinate Voting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Class B Subordinate Voting Shares are listed on the Nasdaq under the ticker symbol “XNDU” and on the TSX under the ticker symbol “XNDU”.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Closing, there were three warrants issued exercisable for Class A Multiple Voting Shares and one warrant issued exercisable for Class B Subordinate Voting Shares. On March 30, 2026, the warrants exercisable for Class A Multiple Voting Shares were net exercised. Upon exercise, Xanadu issued 382,977 Class A Multiple Voting Shares at a price of $0.02 per share and 134,550 Class A Multiple Voting Shares at a price of $0.15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Transfer Agent for the Class B Subordinate Voting Shares in the United States is Continental Stock Transfer &amp; Trust Company. The Transfer Agent for the Class A Multiple Voting Shares and Class B Subordinate Voting Shares in Canada is Computershare Investor Services Inc. Each person investing in Class B Subordinate Voting Shares held through The Depository Trust Company must rely on the procedures thereof and on institutions that have accounts therewith to exercise any rights of a Company Shareholder.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Class B Subordinate Voting Shares are listed on the Nasdaq and the TSX in registered form and are not certificated. The Class B Subordinate Voting Shares are traded on the Nasdaq and TSX in book-entry form.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THE COMPANY’S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and accompanying footnotes set forth information known to us regarding the actual beneficial ownership of the Shares by:</w:t>
      </w:r>
    </w:p>
    <w:p>
      <w:pPr>
        <w:spacing w:after="0" w:line="225"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is expected to be, the beneficial owner of more than 5% of our outstanding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officers, as a group.</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the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beneficial ownership of the Company is based on 254,709,401 Class A Multiple Voting Shares and 43,284,436 Class B Subordinate Voting Shares (totaling 297,993,837 Shares) issued and outstanding as of March 26, 2026. Except as otherwise indicated, all beneficial ownership information in this section is presented as of March 26, 2026. In computing the number of Shares beneficially owned by a person and the percentage ownership of such person, we deemed to be outstanding all Shares subject to the warrants we issued and the Legacy Equity Plans (as defined under “Executive Compensation</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Long-Term Incentives”) held by the person that are currently exercisable or exercisable within 60 days of March 26, 2026. We did not deem such shares outstanding, however, for the purpose of computing the percentage ownership of any other person. Each Class A Multiple Voting Share entitles the holder thereof to 10 votes per share and each Class B Subordinate Voting Share entitles the holder thereof to one vote per share, voting together as a single class, except as otherwise expressly provided in our articles or as provided by law. The number of Class B Subordinate Voting Shares beneficially owned set forth in the table below give effect, in certain circumstances, to contractual limitations on conversion of Class A Multiple Voting Shares held by the selling securityholder.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and subject to applicable community property laws, we believe that all persons named in the table below have sole voting and investment power with respect to the Shares beneficially owned by them. To our knowledge, none of the Shares beneficially owned by any executive officer or director have been pledged as security. Unless otherwise indicated, the address of each shareholder named below is c/o Xanadu Quantum Technologies Limited, 777 Bay Street, Suite 2400, Toronto, Ontario, M5G 2C8, Canada.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 Class A</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 Class B</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Multiple</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Multiple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Subordinate</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Subordinate</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Voting</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Power</w:t>
            </w:r>
          </w:p>
        </w:tc>
      </w:tr>
      <w:tr>
        <w:trPr>
          <w:trHeight w:val="245"/>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21"/>
                <w:szCs w:val="21"/>
                <w:color w:val="auto"/>
              </w:rPr>
            </w:pPr>
          </w:p>
        </w:tc>
      </w:tr>
      <w:tr>
        <w:trPr>
          <w:trHeight w:val="216"/>
        </w:trPr>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OMERS</w:t>
            </w:r>
            <w:r>
              <w:rPr>
                <w:rFonts w:ascii="Times New Roman" w:cs="Times New Roman" w:eastAsia="Times New Roman" w:hAnsi="Times New Roman"/>
                <w:sz w:val="29"/>
                <w:szCs w:val="29"/>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39,746,515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57"/>
        </w:trPr>
        <w:tc>
          <w:tcPr>
            <w:tcW w:w="4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Georgian Partners</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29,514,154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r>
        <w:trPr>
          <w:trHeight w:val="256"/>
        </w:trPr>
        <w:tc>
          <w:tcPr>
            <w:tcW w:w="4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Bessemer Venture Partners</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22,785,156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57"/>
        </w:trPr>
        <w:tc>
          <w:tcPr>
            <w:tcW w:w="4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Radical Ventures</w:t>
            </w:r>
            <w:r>
              <w:rPr>
                <w:rFonts w:ascii="Times New Roman" w:cs="Times New Roman" w:eastAsia="Times New Roman" w:hAnsi="Times New Roman"/>
                <w:sz w:val="29"/>
                <w:szCs w:val="29"/>
                <w:color w:val="auto"/>
                <w:vertAlign w:val="superscript"/>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11,898,488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Impact Fund II, LP</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11,080,951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4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Crane Harbor Sponsor, LLC</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7,795,333</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MMCAP International Inc. SPC</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6,875,000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Aurora Investment Pte Ltd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3,099,620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PlanetFirst Co-Investment Partnership SCSp</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2,800,000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 Platform Fund I, L.P.</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2,818,058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Lockheed Martin Corporation Master Retirement Trust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2,308,892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Officers and Directors: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Weedbrook</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46,432,704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r>
      <w:tr>
        <w:trPr>
          <w:trHeight w:val="257"/>
        </w:trPr>
        <w:tc>
          <w:tcPr>
            <w:tcW w:w="4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Rafal Janik</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Rebecca Laramée</w:t>
            </w:r>
            <w:r>
              <w:rPr>
                <w:rFonts w:ascii="Times New Roman" w:cs="Times New Roman" w:eastAsia="Times New Roman" w:hAnsi="Times New Roman"/>
                <w:sz w:val="29"/>
                <w:szCs w:val="29"/>
                <w:color w:val="auto"/>
                <w:vertAlign w:val="superscript"/>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Trzupek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Natalie Wilmore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William (Bill) I. Fradin</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7,895,333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Eliot Pence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Reynolds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Shyu</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Glenda Dorchak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Officers and Directors (10)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both"/>
        <w:ind w:left="340" w:hanging="332"/>
        <w:spacing w:after="0" w:line="261"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3,106,909 Class A Multiple Voting Shares held by OMERS Ventures LP (“OMERS I”), (ii) 36,639,606 Class A Multiple Voting Shares held by OMERS Ventures III, LP (“OMERS III”), and (iii) 500,000 Class B Subordinate Voting Shares issued to OMERS I. OMERS Ventures Management Inc. is the general partner of OMERS I and OMERS III. The address for each of these entities is c/o OMERS Ventures Management Inc., 900-100 Adelaide Street West, Toronto, Ontario, M5H 0E2, Canada.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6" w:name="page167"/>
    <w:bookmarkEnd w:id="166"/>
    <w:p>
      <w:pPr>
        <w:jc w:val="both"/>
        <w:ind w:left="340" w:hanging="332"/>
        <w:spacing w:after="0" w:line="256"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13D filed by the Georgian Funds (as defined below) on April 8, 2026. Consists of (i) 1,471,055 Class A Multiple Voting Shares held by Georgian Fund IV X Invest LP (“Georgian X”), (ii) 18,103,009 Class A Multiple Voting Shares and 129,108 Class B Subordinate Voting Shares held by Georgian Partners Growth Fund (International) IV, LP (“Georgian International IV”) and (iii) 9,940,090 Class A Multiple Voting Shares and 70,892 Class B Subordinate Voting Shares held by Georgian Partners Growth Fund IV, LP (“Georgian IV,” and together with Georgian X and Georgian International IV, the “Georgian Funds”). The address for each of these entities is 2 St. Clair Ave West, Suite 1400, Toronto, Ontario, M4V 1L5, Canada.</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13,682,497 Class A Multiple Voting Shares held by Bessemer Venture Partners XI Institutional L.P. (“Bessemer XI Institutional”), (ii) 9,102,659 Class A Multiple Voting Shares held by Bessemer Venture Partners XI L.P. (“Bessemer XI” and together with Bessemer XI Institutional, the “BVP Funds”), and (iii) 90,075 and 59,925 Class B Subordinate Voting Shares issued to Bessemer XI Institutional and Bessemer XI, respectively. Deer XI &amp; Co. L.P. (“Deer XI L.P.”) is the general partner of the BVP Funds. Deer XI &amp; Co. Ltd. (“Deer XI Ltd.”) is the general partner of Deer XI L.P. Robert P. Goodman, David Cowan, Jeremy Levine, Byron Deeter, Adam Fisher, Brian Feinstein, Alex Ferrara, Scott Ring, Sandra Grippo, Kent Bennett, and Stephen Kraus are the directors of Deer XI Ltd. and hold the voting and dispositive power for the BVP Funds. Investment and voting decisions with respect to the securities held by the BVP Funds are made by the directors of Deer XI Ltd. acting as an investment committee. David Cowan in his capacity of director of Old Xanadu disclaims beneficial ownership of the reported shares held by the BVP Funds except to the extent of their pecuniary interest, if any, in such securities through an indirect interest in the BVP Funds. The address for each of these entities is c/o Bessemer Venture Partners, 1865 Palmer Avenue, Suite 104, Larchmont, New York 10538.</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1,930,065 Class A Multiple Voting Shares held by Radical Ventures Fund II (International), L.P. (“Radical International”) and (ii) 9,968,423 Class A Multiple Voting Shares held by Radical Ventures Fund II, L.P. (“Radical”). Radical Ventures II GP Inc. (“Radical GP”) is the general partner of Radical International and Radical Fund II. Jordan Mark Jacobs controls Radical GP. The address for each of these entities and individuals is c/o 100 King Street West, 1 First Canadian Place, Suite 6200, P.O. Box 50, Toronto, Ontario, M5X 1B8, Canada.</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Crane Harbor Sponsor, LLC (the “Sponsor”) is the record holder of such shares. William Fradin, the Sponsor’s Chief Executive Officer, is the managing member of Sponsor and holds voting and investment discretion with respect to the Shares held of record by the Sponsor. Mr. Fradin disclaims any beneficial ownership of the securities held by the Sponsor other than to the extent of any pecuniary interest he may have therein, directly or indirectly. The address of Sponsor is 1845 Walnut Street, Suite 1111, Philadelphia, Pennsylvania, 19103.</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2,737,808 Class B Subordinate Voting Shares issuable upon exercise of options held by Mr. Janik for which the time-based vesting condition would be satisfied within 60 days of March 26, 2026.</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869,317 Class B Subordinate Voting Shares issuable upon exercise of options held by Ms. Laramée for which the time-based vesting condition would be satisfied within 60 days of March 26, 2026.</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of 7,895,333 Class B Subordinate Voting Shares includes (i) the shares listed in footnote (5) and (ii) 100,000 Class B Subordinate Voting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general, Rule 144 of the Securities Act (“Rule 144”) permits the resale of restricted securities without registration under the Securities Act if certain conditions are met. Rule 144 is not available for the resale of restricted securities initially issued by shell companies (other than business combination-related shell companies) or issuers that have been at any time previously a shell company, including us. However, Rule 144 also includes an important exception to this prohibition if the following conditions are met at the time of such resale:</w:t>
      </w:r>
    </w:p>
    <w:p>
      <w:pPr>
        <w:spacing w:after="0" w:line="180"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twelve months (or such shorter period as the issuer was required to file such reports and materials), other than Form 8-K reports;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Class B Subordinate Voting Shares received by CHAC Shareholders in the Business Combination are freely tradable, except that Class B Subordinate Voting Shares received in the Business Combination by persons who are affiliates of ours for purposes of Rule 144 under the Securities Act may be resold by them only in transactions permitted by Rule 144, or as otherwise permitted under the Securities Act. Persons who may be deemed our affiliates generally include individuals or entities that control, are controlled by or are under common control with, us and may include our directors and executive officers as well as our principal shareholders.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above conditions have been met and Rule 144 is available, a person that has beneficially owned restricted Class B Subordinate Voting Shares or CHAC Class A Shares for at least one year would be entitled to sell their securities pursuant to Rule 144, provided that such person is not deemed to have been one of CHAC’s affiliates at the time of, or at any time during the three months preceding, a sale. If such persons are CHAC’s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183"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common stock during the four calendar weeks preceding the filing of a notice on Form 144 with respect to the sale.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by affiliates under Rule 144, when available, will also be limited by manner of sale provisions and notice requirements.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all 4,771,605 shares sold in the CHAC IPO were exchanged for Class B Subordinate Voting Shares in connection with the Business Combination and are freely tradable without restriction or further registration under the Securities Act. All of the 7,333,333 Founder Shares and 462,000 CHAC Private Placement Shares were exchanged for Class B Subordinate Voting Shares in connection with the Business Combination and are restricted securities under Rule 144, in that they were issued in private transactions not involving a public offering. The remaining Class B Subordinate Voting Shares are subject to the lock-up restrictions described in the section titled “Lock-Up Agreements and Market Standoff Agreements” below and are restricted securities.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Rule 144 to be available for the resale of the above-noted restricted securities as long as the conditions set forth in the exceptions listed above are satisfied, although such restricted securities may be sold sooner to the extent they have been registered on a registration statement that has been declared effective by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Lock-Up Agreements and Market Standoff Agreements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Sponsor, as the holder of all issued and outstanding CHAC Class B Shares, entered into the Sponsor Letter Agreement pursuant to which the Sponsor agreed, among other things, to subject 1,100,000 CHAC Class B Shares (the “Lock-up Securities”) to post-Closing vesting/forfeiture conditions. All 1,100,000 Lock-up Securities have vested: (i) 550,000 Lock-up Securities vested as the closing share price of our Class B Subordinate Voting Shares equaled or exceeded $12.50 for 20 trading days within a 30 consecutive trading day period during the four-year period following Closing (the “Vesting Term”), and (ii) the remaining 550,000 Lock-up Securities vested as the closing share price of our Class B Subordinate Voting Shares equaled or exceeded US$15.00 for 20 trading days within a 30 consecutive trading day period during the Vesting Term. The remaining CHAC Class B Shares continue to be subject to the lock-up provisions in the sponsor letter agreement entered into in connection with CHAC’s IPO.</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restrictions described above, (i) holders of Old Xanadu Common Shares (including any Old Xanadu Common Shares issued upon the exercise of options granted pursuant to any Old Xanadu equity incentive plan) are party to a right of first refusal and co-sale agreement with Old Xanadu, and (ii) investors holding Old Xanadu Preferred Shares are party to an investors’ rights agreement with Old Xanadu. Pursuant to these agreements, all holders of Old Xanadu Common Shares (including holders of our Class B Subordinate Voting Shares and holders of our Class A Multiple Voting Shares issued upon the exchange of Old Xanadu Common Shares in connection with the Business Combination, as applicable) and all holders of Old Xanadu Preferred Shares (including holders of our Class A Multiple Voting Shares issued upon the exchange of Old Xanadu Preferred Shares in connection with the Business Combination) are subject to customary market standoff provisions that restrict such holders’ ability to lend, offer, pledge, sell, transfer or otherwise dispose of shares for a period following the Closing Date of up to 180 days, as provided therein, subject to customary exceptions and any earlier waiver or termination in accordance with their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Under Canadian Securities Laws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Class B Subordinate Voting Shares issued to CHAC Public Shareholders in connection with the Business Combination may be resold in each of the provinces and territories of Canada, provided that: (i) we are and have been a reporting issuer in a jurisdiction of Canada for the four months immediately preceding the trade (which seasoning period commenced on March 25, 2026 upon our becoming a reporting issuer by obtaining a receipt for our final non-offering prospectus in Ontario); (ii) the trade is not a “control distribution” (as defined in NI 45-102); (iii) no unusual effort is made to prepare the market or create a demand for our Class B Subordinate Voting Shares; (iv) no extraordinary commission or consideration is paid to a person or company in respect of the trade; and (v) if the Selling Securityholder is an insider or officer (as defined under applicable Canadian securities legislation) of ours, the insider or officer has no reasonable grounds to believe that we are in default of applicable Canadian securities legislation. Our Class B Subordinate Voting Shares issued to PIPE Investors in connection with the PIPE Financing may be resold in the United States pursuant to the registration statement effective May 1, 2026 and may be resold in each of the provinces and territories of Canada upon the expiry of the applicable hold period on July 27, 2026.</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holder of our Shares is urged to consult the holder’s professional advisors with respect to applicable restrictions.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Investor and Registration Rights Agreement, we agreed that, within 30 calendar days after the Closing, we would file with the SEC (at our sole cost and expense) the Resale Shelf Registration Statement (as defined in the Investor and Registration Rights Agreement), and we have used and continue to use our commercially reasonable efforts to cause the Resale Shelf Registration Statement to become effective by the SEC as soon as reasonably practicable after the initial filing thereof. In certain circumstances, the Holders may demand our assistance with underwritten offerings and block trades. The Holders are entitled to customary piggyback registration rights.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from time to time of up to 30,100,000 Class B Subordinate Voting Shares, consisting of: (i) up to 30,000,000 Class B Subordinate Voting Shares that may be issued by us to Yorkville under the SEPA; and (ii) up to 100,000 Class B Subordinate Voting Shares held by Cohen. We will not receive any proceeds from the sale of Class B Subordinate Voting Shares by the Selling Securityholders pursuant to this prospectus. As used in this prospectus, the term “Selling Securityholders” refers to Yorkville and Cohen, together with their respective pledgees, donees, transferees, assignees, successors, designees and others who later come to hold any of the Selling Securityholders’ interests in the Class B Subordinate Voting Shares other than through a public sale.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information supplied to us by the Selling Securityholders, certain information as of May 14, 2026, regarding the beneficial ownership of our Class B Subordinate Voting Shares by the Selling Securityholders and the Class B Subordinate Voting Shares being offered by the Selling Securityholders. The applicable percentage ownership of Class B Subordinate Voting Shares is based on approximately 255,226,928 Class A Multiple Voting Shares and 43,284,411 Class B Subordinate Voting Shares (totaling 298,511,339 Shares) issued and outstanding as of May 14, 2026.</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Information with respect to Class B Subordinate Voting Shares owned beneficially after the offering assumes the sale of all of the Class B Subordinate Voting Shares registered hereby. The Selling Securityholders may offer and sell some, all or none of their Class B Subordinate Voting Shares. We do not know how long the Selling Securityholders will hold the Class B Subordinate Voting Shares before selling them, and we are not aware of any existing arrangements between the Selling Securityholders and any other stockholder, broker, dealer, underwriter or agent relating to the sale or distribution of our Class B Subordinate Voting Shares being offered for resale by this prospectus.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which generally provide that a person has beneficial ownership of a security if he, she or it possesses sole or shared voting or investment power over that security or the right to acquire such power within 60 days (including through the conversion of Class A Multiple Voting Shares). Except as indicated by the footnotes below, we believe, based on the information furnished to us, that each of Yorkville and Cohen has sole voting and investment power with respect to all Class B Subordinate Voting Shares that it beneficially owns, subject to applicable community property laws. Except as otherwise described below, based on the information provided to us by the Selling Securityholders, no Selling Securityholder is a broker-dealer or an affiliate of a broker-dealer.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see the section titled “Plan of Distribution” for further information regarding the Selling Securityholders’ method of distributing these shares.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B Subordinate Voting Shares (including Class B Subordinate Voting</w:t>
            </w:r>
          </w:p>
        </w:tc>
      </w:tr>
      <w:tr>
        <w:trPr>
          <w:trHeight w:val="245"/>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7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Issuable Upon the Conversion of Class A Multiple Voting Shares)</w:t>
            </w:r>
          </w:p>
        </w:tc>
      </w:tr>
      <w:tr>
        <w:trPr>
          <w:trHeight w:val="194"/>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Beneficially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Registered for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45"/>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Securityholders</w:t>
            </w:r>
          </w:p>
        </w:tc>
        <w:tc>
          <w:tcPr>
            <w:tcW w:w="1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 Hereby</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1"/>
                <w:szCs w:val="21"/>
                <w:color w:val="auto"/>
              </w:rPr>
            </w:pPr>
          </w:p>
        </w:tc>
      </w:tr>
      <w:tr>
        <w:trPr>
          <w:trHeight w:val="256"/>
        </w:trPr>
        <w:tc>
          <w:tcPr>
            <w:tcW w:w="5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YA II PN, LTD.</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30,000,000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Cohen &amp; Company Securities, LLC</w:t>
            </w:r>
            <w:r>
              <w:rPr>
                <w:rFonts w:ascii="Times New Roman" w:cs="Times New Roman" w:eastAsia="Times New Roman" w:hAnsi="Times New Roman"/>
                <w:sz w:val="29"/>
                <w:szCs w:val="29"/>
                <w:color w:val="auto"/>
                <w:vertAlign w:val="superscript"/>
              </w:rPr>
              <w:t>(2)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hanging="332"/>
        <w:spacing w:after="0" w:line="282"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decisions for YA II PN, Ltd. are made by Mr. Mark Angelo. The business address of YA II PN, Ltd. is 1012 Springfield Avenue, Mountainside, NJ 07092.</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Jerry Serowik, exercises voting and/or dispositive power over the shares held by Cohen &amp; Company Securities, LLC. Jerry Serowik, a Senior Managing Director of Cohen, does not now, nor has he had, any material relationship with the Company or any of its predecessors or affiliates within the past three years. The principal address of Cohen &amp; Company Securities, LLC is: 2929 Arch Street, Suite 1703, Philadelphia PA, 19103,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upon the Closing, we adopted a related person transactions policy setting forth the policies and procedures for the identification, review and approval or ratification of related person transactions. Subject to requirements of applicable Canadian securities laws, the Audit Committee will have the primary responsibility for reviewing and approving or disapproving transactions with related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Crane Harbor Relationship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2025, the Sponsor paid $25,000 to cover certain offering costs of Crane Harbor in consideration for the Class B ordinary shares, par value $0.0001 per share (the “Crane Harbor Class B Shares”) purchased by the Sponsor in a private placement prior to Crane Harbor’s initial public offering (the “Founder Shares”). From January 2025 through April 2025, Crane Harbor had various share surrender and capitalization events in which a net 625,000 shares were surrendered by the Sponsor to Crane Harbor for no consideration and an aggregate of 7,333,333 Founder Shares remained outstanding. All share and per share amounts have been retroactively adjusted to reflect the share capitalization and share surrender.</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Sponsor agreed, subject to limited exceptions, not to transfer, assign or sell any of the Founder Shares until the earlier to occur of (A) one year after the completion of the initial business combination and (B) subsequent to the initial business combination (x) if the last reported sale price of the Crane Harbor Class A Shares equals or exceeds $12.00 per share (as adjusted for share subdivisions, share dividends, rights issuances, reorganizations, recapitalizations and the like) for any 20 trading days within any 30-trading-day period commencing at least 150 days after the initial business combination or (y) the date on which Crane Harbor completes a liquidation, merger, share exchange, reorganization or other similar transaction that results in all Crane Harbor Public Shareholders having the right to exchange their ordinary shares for cash, securities or other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Units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Simultaneously with the consummation of Crane Harbor’s initial public offering, Crane Harbor consummated the private placement of the Crane Harbor private units in a private placement transaction at a price of $10.00 per Crane Harbor Private Unit, generating gross proceeds of $6,400,000. The Crane Harbor private units were purchased by the Sponsor (420,000 units) and the underwriters of Crane Harbor’s initial public offering (220,000 units). The Crane Harbor Rights included in the Crane Harbor private units are identical to the Crane Harbor Rights included in the Crane Harbor Public Units except as otherwise described in the Crane Harbor initial public offering registration statement. No underwriting discounts or commissions were paid with respect to such sale. The issuance of the Crane Harbor private units was made pursuant to the exemption from registration contained in Section 4(a)(2) of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Crane Harbor entered into an agreement, commencing in April 2024, through the earlier of Crane Harbor’s consummation of an initial business combination or its liquidation, to pay an affiliate or designee of the Sponsor a total of $20,000 per month for office space, utilities and shared personnel support services. An aggregate of $0.2 million was paid under this agreement through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7, 2025, Crane Harbor issued a promissory note to the Sponsor, pursuant to which Crane Harbor could borrow up to an aggregate principal amount of $300,000. The note was non-interest bearing and payable on the earlier of (i) June 30, 2025, or (ii) the consummation of Crane Harbor’s initial public offering. Crane Harbor repaid the outstanding balance of the note at the closing of Crane Harbor’s initial public offering. Borrowings under the note are no longer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24, 2025, the Sponsor, Crane Harbor and certain other holders of Crane Harbor’s securities entered into the Registration Rights Agreement which provides for customary terms for a transaction of this type, including piggyback registration rights and demand registration rights, subject to underwriter cutbacks and issuer blackout periods. The Registration Rights Agreement was superseded by the Investor Registration Rights Agreement entered into in connection with the closing of the Business Combination. See “—Certain Related Party Transactions of Old Xanadu—Investor and Registration Rights Agreement” for more details.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order to fund working capital deficiencies or finance transaction costs in connection with the Business Combination, the Sponsor or an affiliate of the Sponsor committed to making working capital loans to Crane Harbor in an aggregate principal amount of up to $2,500,000. Upon consummation of the Business Combination, such working capital loans were to be repaid out of the proceeds of the Trust Account released to Crane Harbor. As Crane Harbor had not authorized “units,” such working capital loans were repaid in Class B Subordinate Voting Shares at a rate of 1.1 Class B Subordinate Voting Shares for each $10.00 repaid in securities, with any fractional shares rounded down to the nearest whole number. We repaid the borrowings in full at the closing of the Business Combination. Borrowings under such working capital loans are no longer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from Related Party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25, 2025, Crane Harbor received an advance of $700,000 from the Sponsor for working capital. Upon consummation of the Business Combination, such advance was repaid out of the proceeds of the Trust Account released to Crane Harbor.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Letter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entered into the Sponsor Letter Agreement with Crane Harbor, the Company and Old Xanadu. Pursuant to the Sponsor Letter Agreement, the Sponsor agreed, among other things, to (i) appear and vote (or cause to be voted) all Crane Harbor Class B Shares in favor of the Business Combination and against any competing proposal or other action that would reasonably be expected to impede, interfere with or delay the Business Combination; (ii) irrevocably waive any adjustment to the conversion ratio or other anti-dilution or similar protection with respect to the Crane Harbor Class B Shares that would otherwise be triggered by the transactions contemplated by the Business Combination Agreement (including the PIPE Financing); and (iii) subject 1,100,000 Crane Harbor Class B Shares to post-Closing vesting/forfeiture conditions, which have subsequently been met in full as further described in the section titled “Shares Eligible for Future Sale—Lock-Up Agreements and Market Standoff Agreements.” The remaining Crane Harbor Class B Shares continue to be subject to the lock-up provisions in the sponsor letter agreement entered into in connection with Crane Harbor’s initial public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Party Transactions of Old Xanadu</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January 1, 2025, there has not been, nor is there currently proposed, any material transaction or series of similar material transactions to which Old Xanadu was or is a party in which any of the members of its board of directors or executive officers, holders that beneficially own, or control or direct, directly or indirectly, more than 10% of any class or series of its outstanding voting securities, any associate or affiliate of any of the foregoing persons, or any member of the immediate family of any of the foregoing persons, had or will have a direct or indirect material interest, other than the director and executive officer compensation and indemnification arrangements described elsewhere in this prospectus and the transactions we describe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Old Xanadu had paid an aggregate of $1.8 million on behalf of Xanadu, consisting of (i) $1.8 million of deferred transaction costs related to the Business Combination and (ii) $12.0 thousand of audit fees. Such amounts were due and payable by Xanadu to Old Xanadu, are non-interest bearing, due on demand, and are recorded as a related party receivable within accounts receivable on Old Xanadu’s consolidated balance sheet as at December 31, 2025. As of December 31, 2025, the deferred transaction costs described above remained outstanding and had not been repaid.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enter into employment agreements with certain of our executive officers. See the section titled “Executive Compensation— Employment Arrangements, Termination and Change in Control Benefits.”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Support Agreements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certain shareholders of Old Xanadu entered into transaction support agreements with Crane Harbor, pursuant to which, each such shareholder agreed, among other things, to (i) appear and vote (or cause to be voted), in person, by proxy, by written consent or as otherwise required under Old Xanadu shareholders’ agreements or Old Xanadu’s articles of incorporation, as amended, all of its Old Xanadu common shares, Old Xanadu preferred shares and, if applicable, options and warrants, in favor of the Business Combination and the transactions contemplated by the Business Combination Agreement; (ii) oppose any counter-proposal to acquire Old Xanadu and any action that would reasonably be expected to breach Old Xanadu’s obligations under the Business Combination Agreement; (iii) refrain from transferring or encumbering the covered securities prior to Closing, subject to limited permitted transfers (including to affiliates conditioned on a joinder); and (iv) not exercise dissent rights with respect to the Business Combination, in each case on the terms and subject to the conditions set forth therein. The Transaction Support Agreements included customary covenants and acknowledgments and terminated upon the closing of the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affiliates of OMERS Ventures, Georgian Partners and Bessemer Venture Partners, each of which is a beneficial owner of more than 5% of our outstanding share capital, purchased as PIPE Investors under the PIPE Financing an aggregate of 850,000 Class B Subordinate Voting Shares for a purchase price of $10.00 per share for gross proceeds of $8.5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Christian Weedbrook and certain affiliates of OMERS Ventures, Georgian Partners and Bessemer Venture Partners, along with all other holders of Old Xanadu preferred shares entered into certain shareholder agreements with Old Xanadu that provided certain rights to Old Xanadu shareholders, including certain approval rights, restrictions on transfers, rights of first offer and refusal, tag-along rights, drag-along rights, observer rights and information rights. The shareholder agreements terminated upon consummation of the Business Combination, except for certain provisions, including those addressing restrictions on transfers and confidentiality.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and Registration Rights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Closing, we, the Sponsor, Christian Weedbrook and certain former Old Xanadu and Crane Harbor shareholders, including certain affiliates of OMERS Ventures, Georgian Partners and Bessemer Venture Partners, entered into the Investor and Registration Rights Agreement. Pursuant to the Investor and Registration Rights Agreement, among other things, the parties thereto were granted customary registration rights with respect to their Class B Subordinate Voting Shares and, as applicable, Class A Multiple Voting Shares, including demand, piggyback and shelf resale registration rights, subject to customary cutbacks, suspensions and expenses provisions. Pursuant to the Investor and Registration Rights Agreement, the Sponsor and Christian Weedbrook were granted director nomination rights. The Sponsor designated Mr. Fradin as its nominee pursuant to the Investor and Registration Rights Agreement. Mr. Weedbrook was designated for election to the Board pursuant to the Investor and Registration Rights Agreement as he is our Chief Executive Officer. Mr. Weedbrook did not exercise his right to designate the Founder Director (as defined in the Investor and Registration Rights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the by-laws. These agreements, among other things, require us, to the extent permitted by the OBCA, to indemnify our directors and executive officers for certain costs, charges and expenses, including attorneys’ fees, judgments, fines and settlement amounts, reasonably incurred by a director or executive officer in any action or proceeding because of their association with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Pre-Closing Reorganization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Closing, Old Xanadu undertook a pre-closing reorganization. Pursuant to the pre-closing reorganization, Old Xanadu (among other things) transferred certain intangible assets of Old Xanadu to a wholly-owned subsidiary of Old Xanadu, resulting in an increase in the capital dividend account of Old Xanadu. The benefits of the capital dividend account were determined and allocated to certain Old Xanadu shareholders, as determined by the Old Xanadu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Coattail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Closing, we entered into a customary coattail agreement (the “Coattail Agreement”) with a trustee and certain holders of not less than 80% of the outstanding Class A Multiple Voting Shares (the “Covenanting Shareholders”), including certain of our directors, executive officers, and beneficial owners of more than 5% of Shares. For a description of the material terms of the Coattail Agreement, see the section titled “Description of Share Capital — Take-Over Bid Protection.”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considerations relating to the acquisition, ownership and disposition of Shares by a U.S. Holder (as defined below). This summary addresses only the U.S. federal income tax considerations for U.S. Holders that hold such Shares as capital assets within the meaning of Section 1221 of the U.S. Internal Revenue Code of 1986, as amended (the “Code”). This summary does not address all U.S. federal income tax matters that may be relevant to a particular U.S. Holder. This summary does not address tax considerations applicable to a holder of Shares that may be subject to special tax rules including, without limitation, the following:</w:t>
      </w:r>
    </w:p>
    <w:p>
      <w:pPr>
        <w:spacing w:after="0" w:line="183"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currencies, commodities, or notional principal contracts;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 Shares as part of a “hedging,” “integrated” or “conversion” transaction or as a position in a “straddle” for U.S. federal income tax purposes;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(including entities or arrangements treated as partnerships for U.S. federal income tax purposes) or other pass-through entities, or persons that will hold the Shares through such an entity;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income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Shares as compensation for the performance of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directly, indirectly, or through attribution 10% or more of our Shares by vote or value;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this summary does not address the U.S. federal non-income tax considerations, including estate or gift tax considerations, the Medicare contribution tax on net investment income, the alternative minimum tax considerations, the special tax accounting rules under Section 451(b) of the Code, or any U.S. state, local, or non-U.S. tax considerations of the ownership or disposition of the Shares.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description is based on the Code, existing, proposed and temporary U.S. Treasury Regulations promulgated thereunder and administrative and judicial interpretations thereof, in each case as in effect and available on the date hereof. All the foregoing is subject to change, which change could apply retroactively, and to differing interpretations, all of which could affect the tax considerations described below. There can be no assurances that the U.S. Internal Revenue Service, or the IRS, will not take a position concerning the tax consequences of the ownership or disposition of the Shares or that such a position would not be sustained. Holders should consult their own tax advisers concerning the U.S. federal, state, local and non-U.S. tax consequences of the ownership and disposition of the Shares in their particular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purposes of this summary, a “U.S. Holder” is a beneficial owner of Shares that is (or is treated as),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United States person.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Shares, the U.S. federal income tax consequences relating to an investment in the Shares will depend in part upon the status of the partner and the activities of the partnership. Such a partner or partnership should consult its tax advisor regarding the U.S. federal income tax considerations of owning and disposing of the Shares in its particular circumstances.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Persons considering an investment in the Shares should consult their own tax advisors as to the particular tax consequences applicable to them relating to the ownership and disposition of the Shares, including the applicability of U.S. federal, state and local tax laws and non-U.S. tax 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U.S. federal income tax purposes, a non-U.S. corporation will be a passive foreign investment company (“PFIC”) for any taxable year in which (i) 75% or more of its gross income consists of passive income or (ii) 50% or more of the value of its assets (determined on the basis of a weighted quarterly average) consists of assets that produce, or are held for the production of, passive income (including cash). For purposes of these tests, passive income includes dividends, interest, gains from the sale or exchange of investment property and certain rents and royalties. For purposes of the above calculations, a non-U.S. corporation that directly or indirectly owns at least 25% by value of the shares of another corporation is treated as holding and receiving directly its proportionate share of assets and income of such corporation.</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an analysis of our income and assets, including the value of our goodwill, we do not believe that we were a PFIC for the taxable year ended December 31, 2025. There can be no assurances that we will not be treated as a PFIC for any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Shares from time to time, which may fluctuate considerably. Under the income test, our status as a PFIC depends on the composition of our income which will depend on a variety of factors that are subject to uncertainty, including the characterization of transactions we enter into in the future and our corporate structure.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any prior, current or future taxable year.</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Shares, we must generally continue to be treated as a PFIC by that holder for all succeeding years during which the U.S. Holder holds the Shares, unless we cease to meet the requirements for PFIC status and the U.S. Holder makes a “deemed sale” election with respect to the Shares. If the election is made, the U.S. Holder will be deemed to sell the Shares it holds at their fair market value on the last day of the last taxable year in which we qualified as a PFIC, and any gain recognized from such deemed sale would be taxed under the PFIC excess distribution regime. After the deemed sale election, the U.S. Holder’s Shares would not be treated as shares of a PFIC unless we subsequently become a PFIC.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5" w:name="page176"/>
    <w:bookmarkEnd w:id="17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a PFIC, and you are a U.S. Holder, then unless you make one of the elections described below, a special tax regime will apply to both (a) any “excess distribution” by us to you (generally, your ratable portion of distributions in any year which is greater than 125% of the average annual distribution received by you in the shorter of the three preceding years or your holding period for the Shares) and (b) any gain realized on the sale or other disposition of the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elections may alleviate some of the adverse consequences of PFIC status and would result in an alternative treatment of the Shares. A U.S. Holder can make an election, if we provide the necessary information, to treat us as a “qualified electing fund” or QEF in the first taxable year in which we are treated as a PFIC with respect to the U.S. Holder. Generally, a U.S. Holder must make the QEF election by attaching a separate properly completed IRS Form 8621 to the U.S. Holder’s timely filed U.S. federal income tax return for the first taxable year in which the U.S. Holder held our Shares that includes the close of our taxable year for which we met the PFIC gross income test or gross asset test. We may provide the information necessary for U.S. Holders to make the QEF election if we were treated as a PFIC for any taxable year. There is no assurance that we will have timely knowledge of our status as a PFIC in the future. Accordingly, U.S. Holders may be unable to make a timely QEF election with respect to our Shares.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a U.S. Holder makes a QEF election with respect to a PFIC, the U.S.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U.S. Holder’s income under the QEF election would not be taxable to the holder. A U.S. Holder will increase its tax basis in its Shares by an amount equal to any income included under the QEF election and will decrease its tax basis by any amount distributed on the Shares that is not included in the holder’s income. If a U.S. Holder has made a QEF election with respect to its Shares, any gain or loss recognized by the U.S. Holder on a sale or other disposition of such Shares will constitute capital gain or loss. U.S. Holders should consult their tax advisors regarding making QEF elections in their particular circumstances. If a U.S. Holder does not make and maintain a QEF election for the U.S. Holder’s entire holding period for our Shares by making the election for the first year in which the U.S. Holder owns our Shares, the U.S. Holder will be subject to the adverse PFIC rules discussed above unless the U.S. Holder can properly make a “purging election” with respect to our Shares in connection with the U.S. Holder’s QEF election. A purging election may require the U.S. Holder to recognize taxable gain on the U.S. Holder’s Shares.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Alternatively, if a U.S. Holder makes a mark-to-market election, the U.S. Holder generally will recognize as ordinary income any excess of the fair market value of the Shares at the end of each taxable year over its adjusted tax basis, and will recognize an ordinary loss in respect of any excess of the adjusted tax basis of the Shares over its fair market value at the end of the taxable year (but only to the extent of the net amount of income previously included as a result of the mark-to-market election). If a U.S. Holder makes the election, the U.S. Holder’s tax basis in the Shares will be adjusted to reflect these income or loss amounts. Any gain recognized on the sale or other disposition of Shares in a year when we are a PFIC will be treated as ordinary income and any loss will be treated as an ordinary loss (but only to the extent of the net amount of income previously included as a result of the mark-to-market election) and thereafter as capital loss. The mark-to-market election is available only if we are a PFIC and the Shares are “regularly traded” on a “qualified exchange.” The Shares will be treated as “regularly traded” in any calendar year in which more than a de minimis quantity of the Shares are traded on a qualified exchange on at least 15 days during each calendar quarter (subject to the rule that trades that have as one of their principal purposes the meeting of the trading requirement as disregarded). The Nasdaq Global Market is a qualified exchange for this purpose and, consequently, if the Shares remain listed on the Nasdaq Global Market and are regularly traded, the mark-to-market election will be available to a U.S. Holder. Once made, the election cannot be revoked without the consent of the IRS, unless the Shares cease to be marketable.</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determined to be a PFIC, the general tax treatment for U.S. Holders described in this section would apply to indirect distributions and gains deemed to be realized by U.S. Holders in respect of any of our future subsidiaries that also may be determined to be PFICs. Moreover, a mark-to-market election generally would not be available with respect to any such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6" w:name="page177"/>
    <w:bookmarkEnd w:id="176"/>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we were a PFIC (or with respect to a particular U.S. Holder were treated as a PFIC) for a taxable year in which we paid a dividend or for the prior taxable year, the favorable tax rate described in “-Distributions” below with respect to dividends paid to certain non-corporate U.S. Holders would not apply.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U.S. Holder owns Shares during any taxable year in which we are a PFIC, the U.S. Holder generally will be required to file an IRS Form 8621 (Information Return by a Shareholder of a Passive Foreign Investment Company or Qualified Electing Fund) with respect to us, generally with the U.S. Holder’s federal income tax return for that year. If we were a PFIC for a given taxable year, then you should consult your tax advisor concerning your annual filing requirements.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U.S. federal income tax rules relating to PFICs are complex. Prospective U.S. investors are urged to consult their own tax advisers with respect to the acquisition, ownership and disposition of the Shares, the consequences to them of an investment in a PFIC, any elections available with respect to the Shares and the IRS information reporting obligations with respect to the acquisition, ownership and disposition of the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Subject to the discussion under “</w:t>
      </w:r>
      <w:r>
        <w:rPr>
          <w:rFonts w:ascii="Times New Roman" w:cs="Times New Roman" w:eastAsia="Times New Roman" w:hAnsi="Times New Roman"/>
          <w:sz w:val="18"/>
          <w:szCs w:val="18"/>
          <w:i w:val="1"/>
          <w:iCs w:val="1"/>
          <w:color w:val="auto"/>
        </w:rPr>
        <w:t>Passive Foreign Investment Company Considerations</w:t>
      </w:r>
      <w:r>
        <w:rPr>
          <w:rFonts w:ascii="Times New Roman" w:cs="Times New Roman" w:eastAsia="Times New Roman" w:hAnsi="Times New Roman"/>
          <w:sz w:val="18"/>
          <w:szCs w:val="18"/>
          <w:color w:val="auto"/>
        </w:rPr>
        <w:t>,” above, the gross amount of any distribution (before reduction for any amounts withheld in respect of Canadian withholding tax) actually or constructively received by a U.S. Holder with respect to Shares will be taxable to the U.S. Holder as a dividend to the extent of the U.S. Holder’s pro rata share of our current and accumulated earnings and profits as determined under U.S. federal income tax principles. Distributions in excess of earnings and profits will be non-taxable to the U.S. Holder to the extent of, and will be applied against and reduce (but not below zero), the U.S. Holder’s adjusted tax basis in the Shares. Distributions in excess of earnings and profits and such adjusted tax basis will generally be taxable to the U.S. Holder as described below under “Sale, exchange or other taxable disposition of the Shares.”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Non-corporate U.S. Holders may qualify for the preferential rates of taxation applicable to long-term capital gains (i.e., gains from the sale of capital assets held for more than one year) with respect to dividends on Shares if we are a “qualified foreign corporation” and certain other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these rules and which includes an exchange of information provision, or (b) with respect to any dividend it pays on Shares which are readily tradable on an established securities market in the United States. The Shares are currently listed on the Nasdaq Global Market, which is an established securities market in the United States, and we expect the Shares to be readily tradable on the Nasdaq Global Market. However, there can be no assurance that the Shares will be considered readily tradable on an established securities market in the United States. Moreover, we, incorporated under the OBCA, believe that we qualify as a resident of Canada for purposes of, and are eligible for the benefits of, the Convention between the Government of the United States of America and the Government of Canada for the Avoidance of Double Taxation and the Prevention of Fiscal Evasion with Respect to Taxes on Income and Capital, signed on September 26, 1980, as amended and currently in force, or the Treaty, although there can be no assurance in this regard. Further, the IRS has determined that the Treaty is satisfactory for purposes of the qualified dividend rules and that it includes an exchange-of-information program. Therefore, subject to the discussion under “Passive Foreign Investment Company Considerations,” above, if the Treaty is applicable, or if the Shares are readily tradable on an established securities market in the United States, such dividends will generally be “qualified dividend income” in the hands of individual U.S. Holders eligible for the preferential tax rates, provided that certain conditions are met, including conditions relating to holding period and the absence of certain risk reduction transactions. The dividends will not be eligible for the dividends-received deduction generally allowed to corporate U.S. Holders.</w:t>
      </w:r>
    </w:p>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U.S. Holder generally may claim the amount of any Canadian withholding tax as either a deduction from gross income or a credit against its U.S. federal income tax liability. However, the foreign tax credit is subject to numerous complex limitations that must be determined and applied on an individual basis. Each U.S. Holder should consult its own tax advisors regarding the foreign tax credit rules.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7" w:name="page178"/>
    <w:bookmarkEnd w:id="17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general, the amount of a distribution paid to a U.S. Holder in a foreign currency will be the dollar value of the foreign currency calculated by reference to the spot exchange rate on the day the U.S. Holder receives the distribution, (actually or constructively),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the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gain or loss for U.S. federal income tax purposes upon the sale, exchange or other taxable disposition of Shares in an amount equal to the difference between the U.S. dollar value of the amount realized from such sale or exchange and the U.S. Holder’s adjusted tax basis in those Shares, determined in U.S. dollars. Subject to the discussion under “Passive Foreign Investment Company Considerations” above, this gain or loss will generally be a capital gain or loss. A U.S. Holder’s adjusted tax basis in the Shares generally will be equal to the cost of such Shares. Under current law, capital gain from the sale, exchange or other taxable disposition of Shares of a non-corporate U.S. Holder is generally eligible for a preferential rate of taxation applicable to capital gains, if the non-corporate U.S. Holder’s holding period determined at the time of such sale, exchange or other taxable disposition for such Shares exceeds one year (i.e., such gain is long-term taxable gain). The deductibility of capital losses for U.S. federal income tax purposes is subject to limitations under the Code. Any such gain or loss that a U.S. Holder recognizes generally will be treated as U.S. source gain or loss for foreign tax credit limitation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U.S. Holders generally will be subject to information reporting requirements with respect to dividends on Shares and on the proceeds from the sale, exchange or disposition of Shares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may be required to report information relating to their ownership of an interest in certain foreign financial assets, including stock of a non-U.S. person, generally on Form 8938, subject 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Shares. U.S. Holders should consult their tax advisers regarding their reporting obligations with respect to the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8" w:name="page179"/>
    <w:bookmarkEnd w:id="178"/>
    <w:p>
      <w:pPr>
        <w:ind w:left="3580"/>
        <w:spacing w:after="0"/>
        <w:rPr>
          <w:sz w:val="20"/>
          <w:szCs w:val="20"/>
          <w:color w:val="auto"/>
        </w:rPr>
      </w:pPr>
      <w:r>
        <w:rPr>
          <w:rFonts w:ascii="Times New Roman" w:cs="Times New Roman" w:eastAsia="Times New Roman" w:hAnsi="Times New Roman"/>
          <w:sz w:val="18"/>
          <w:szCs w:val="18"/>
          <w:b w:val="1"/>
          <w:bCs w:val="1"/>
          <w:color w:val="auto"/>
        </w:rPr>
        <w:t>MATERIAL CANADIAN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Federal Income Tax Considerations for U.S. Holders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following discussion is a summary of the principal Canadian federal income tax considerations generally applicable to a beneficial owner of the Class B Subordinate Voting Shares of Xanadu who, at all relevant times, for purposes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Income Tax Regulations</w:t>
      </w:r>
      <w:r>
        <w:rPr>
          <w:rFonts w:ascii="Times New Roman" w:cs="Times New Roman" w:eastAsia="Times New Roman" w:hAnsi="Times New Roman"/>
          <w:sz w:val="18"/>
          <w:szCs w:val="18"/>
          <w:color w:val="auto"/>
        </w:rPr>
        <w:t xml:space="preserve"> (collectively, the “Canadian Tax Act”) (i) deals at arm’s-length with, and is not affiliated with, the Company, (ii) beneficially owns its Class B Subordinate Voting Shares as capital property, (iii) does not use or hold and is not deemed to use or hold such Class B Subordinate Voting Shares in carrying on a business in Canada, (iv) does not with respect to the Class B Subordinate Voting Shares enter into a “derivative forward agreement” or “synthetic disposition arrangement” as defined in the Canadian Tax Act, (v) is not a “foreign affiliate” (as defined in the Canadian Tax Act) of a taxpayer resident in Canada, and (vi) at all relevant times, for purposes of the application of the Treaty, is resident in the United States, is not, and is not deemed to be, resident in Canada and is eligible for benefits under the Treaty (defined for purposes of this section entitled “Material Canadian Federal Income Tax Considerations” </w:t>
      </w:r>
      <w:r>
        <w:rPr>
          <w:rFonts w:ascii="Times New Roman" w:cs="Times New Roman" w:eastAsia="Times New Roman" w:hAnsi="Times New Roman"/>
          <w:sz w:val="18"/>
          <w:szCs w:val="18"/>
          <w:i w:val="1"/>
          <w:iCs w:val="1"/>
          <w:color w:val="auto"/>
        </w:rPr>
        <w:t>only</w:t>
      </w:r>
      <w:r>
        <w:rPr>
          <w:rFonts w:ascii="Times New Roman" w:cs="Times New Roman" w:eastAsia="Times New Roman" w:hAnsi="Times New Roman"/>
          <w:sz w:val="18"/>
          <w:szCs w:val="18"/>
          <w:color w:val="auto"/>
        </w:rPr>
        <w:t xml:space="preserve"> a “U.S. Holder”). Special rules, which are not discussed in the summary, may apply to a beneficial owner of the Class B Subordinate Voting Shares that is an insurer that carries on an insurance business in Canada and elsewhere or that is an “authorized foreign bank” as defined in the Canadian Tax Act.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Treaty includes limitation on benefits rules that restrict the ability of certain persons who are resident in the United States to claim any or all benefits under the Treaty. Furthermore, limited liability companies (“LLCs”) that are not taxed as corporations pursuant to the provisions of the U.S. Internal Revenue Code of 1986, as amended, do not generally qualify as resident in the United States for purposes of the Treaty. Under the Treaty, a resident of the United States who is a member of such an LLC and is otherwise eligible for benefits under the Treaty may generally be entitled to claim benefits under the Treaty in respect of income, profits or gains derived through the LLC. Residents of the United States should consult their own tax advisors with respect to their eligibility for benefits under the Treaty.</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summary is based upon the current provisions of the Canadian Tax Act, all specific proposals to amend the Canadian Tax Act that have been publicly announced by or on behalf of the Minister of Finance (Canada) prior to the date hereof (the “Tax Proposals”), the Treaty and our understanding of the current administrative policies and assessing practices of the Canada Revenue Agency (the “CRA”) published in writing prior to the date hereof. No assurances can be given that the Tax Proposals will be enacted as proposed, if at all. This summary is not exhaustive of all possible Canadian federal income tax considerations with respect to the ownership and disposition of the Class B Subordinate Voting Shares, and except for the Tax Proposals, does not take into account or anticipate any changes in the law or administrative policies and assessing practices, whether by judicial, regulatory, administrative or legislative decision or action, nor does it take into account provincial, territorial or foreign tax legislation or considerations, which may differ significantly from those discussed herein.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summary is of a general nature only and is not intended to be, nor should it be construed to be, legal or tax advice generally or to any particular U.S. Holder. U.S. Holders should consult their own tax advisors with respect to the tax consequences to them of the ownership and disposition of the Class B Subordinate Voting Shares, having regard to their own particular circumstances.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for purposes of the Canadian Tax Act, all amounts relating to the acquisition, holding or disposition of the Class B Subordinate Voting Shares must be converted into Canadian dollars based on the rate of exchange quoted by the Bank of Canada on the date such amount arose, or such other rate of exchange as may be acceptable to the CRA. The amount of dividends, if any, required to be included in the income of, and capital gains or capital losses realized by, a U.S. Holder may be affected by fluctuations in the Canadian/U.S. dollar exchange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Class B Subordinate Voting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Dividends paid or credited on the Class B Subordinate Voting Shares or deemed to be paid or credited on the Class B Subordinate Voting Shares to a U.S. Holder that is the beneficial owner of such dividends will generally be subject to non-resident withholding tax under the Canadian Tax Act and the Treaty at the rate of: (a) 5% of the gross amount paid or credited if the U.S. Holder is a company that owns (or is deemed to own) at least 10% of the Company’s voting stock or (b) 15% of the gross amount paid or credited in all other cases. The rate of withholding under the Canadian Tax Act in respect of dividends paid to non-residents of Canada is 25% of the gross amount paid or credited where no tax treaty applies.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on Disposition of Class B Subordinate Voting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general, a U.S. Holder will not be subject to tax under the Canadian Tax Act on capital gains, or be entitled to deduct capital losses, arising on the disposition of such U.S. Holder’s Class B Subordinate Voting Shares unless the Class B Subordinate Voting Shares are “taxable Canadian property” to the U.S. Holder at the time of disposition and are not “treaty-protected property”.</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long as the Class B Subordinate Voting Shares are then listed on a “designated stock exchange”, which currently includes the Nasdaq and the TSX, the Class B Subordinate Voting Shares generally will not constitute taxable Canadian property of a U.S. Holder, unless at any time during the 60-month period preceding the disposition: (a) one or any combination of (i) the U.S. Holder, (ii) persons not dealing at arm’s length with such U.S. Holder, and (iii) partnerships in which the U.S. Holder or a person described in (ii) holds a membership interest (either directly or indirectly through one or more partnerships), owned 25% or more of the issued shares of any class or series of the capital stock of the Company and (b) more than 50% of the fair market value of the Class B Subordinate Voting Shares was derived, directly or indirectly, from any combination of: (i) real or immovable property situated in Canada, (ii) “Canadian resource property” (as such term is defined in the Canadian Tax Act), (iii) “timber resource property” (as such term is defined in the Canadian Tax Act) or (iv) options in respect of, or interests in, or for civil law rights in, any such properties whether or not the property exists, or the Class B Subordinate Voting Shares are otherwise deemed to be taxable Canadian property.</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Class B Subordinate Voting Shares will be treaty-protected property where the U.S. Holder is exempt from income tax under the Canadian Tax Act on the disposition of the Class B Subordinate Voting Shares because of the Treaty. Class B Subordinate Voting Shares owned by a U.S. Holder will generally be treaty-protected property where the value of the Class B Subordinate Voting Shares is not derived principally from real property situated in Canada, as defined in the Treaty, at the time of disposition.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Class B Subordinate Voting Shares offered by this prospectus are being offered by the Selling Securityholders.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 We will not receive any of the proceeds from the sale of the securities by the Selling Securityholders. We may receive up to $300,000,000 aggregate gross proceeds under the SEPA from any sales of our Class B Subordinate Voting Shares by us to Yorkville pursuant to the SEPA (representing the full commitment amount before the application of the 2.5% discount to the Market Price at which Yorkville purchases shares). The net proceeds from sales, if any, under the SEPA will depend on the number of Class B Subordinate Voting Shares we sell to Yorkville, the timing of such sales, and the prices at which we sell such shares to Yorkville after the date of this prospectus.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sale of our Class B Subordinate Voting Shares offered by this prospectus could be effected in one or more of the following methods:</w:t>
      </w:r>
    </w:p>
    <w:p>
      <w:pPr>
        <w:spacing w:after="0" w:line="225"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Class B Subordinate Voting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Yorkville is an “underwriter” within the meaning of Section 2(a)(11) of the Securities Act.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Yorkville has informed us that it intends to use one or more registered broker-dealers to effectuate all sales, if any, of our Class B Subordinate Voting Shares that it may acquire from us pursuant to the SEPA. Such sales will be made at prices and at terms then prevailing or at prices related to the then current market price. Such registered broker-dealer may, in some circumstances (for instance if such registered broker-dealer’s involvement is not limited to receiving commission not in excess of the usual and customary distributor’s or seller’s commissions), be considered to be an underwriter within the meaning of Section 2(a)(11) of the Securities Act. Yorkville has informed us that each such broker-dealer may receive commissions from Yorkville for executing such sales for Yorkville and, if so, such commissions will not exceed customary brokerage commissions.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our Class B Subordinate Voting Shares offered by this prospectus may receive compensation in the form of commissions, discounts, or concessions from the purchasers, for whom the broker-dealers may act as agent, of the shares sold by the Selling Securityholders through this prospectus. The compensation paid to any such particular broker-dealer by any such purchasers of our Class B Subordinate Voting Shares sold by the Selling Securityholders may be less than or in excess of customary commissions. Neither we nor the Selling Securityholders can presently estimate the amount of compensation that any agent will receive from any purchasers of our Class B Subordinate Voting Shares sold by a Selling Securityholder.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1" w:name="page182"/>
    <w:bookmarkEnd w:id="18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know of no existing arrangements between the Selling Securityholders or any other stockholder, broker, dealer, underwriter or agent relating to the sale or distribution of the Class B Subordinate Voting Shares offered by this prospectus.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Yorkville, including with respect to any compensation paid or payable by Yorkville to any brokers, dealers, underwriters or agents that participate in the distribution of such Class B Subordinate Voting Shares by Yorkville, and any other related information required to be disclosed under the Securities Act.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our Class B Subordinate Voting Shares covered by this prospectus by the Selling Securityholders.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consideration for its irrevocable commitment to purchase our Ordinary Shares under the SEPA, we paid Yorkville, (i) a structuring fee in the amount of $25,000 and (ii) the Commitment Fee.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have agreed to indemnify Yorkville and certain other persons against certain liabilities in connection with the offering of our Class B Subordinate Voting Shares offered hereby, including liabilities arising under the Securities Act or, if such indemnity is unavailable, to contribute amounts required to be paid in respect of such liabilities. Yorkville has agreed to indemnify us against liabilities under the Securities Act that may arise from certain written information furnished to us by Yorkville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$0.5 million.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Yorkville has represented to us that at no time prior to the date of the SEPA has Yorkville or any entity managed or controlled by Yorkville, engaged in or effected, in any manner whatsoever, directly or indirectly, for its own account or for the account of any of its affiliates, any short sale or any transaction, which establishes a net short position with respect to our Class B Subordinate Voting Shares. Yorkville has agreed that during the term of the SEPA, none of Yorkville, its officers, its sole member, or any entity managed or controlled by Yorkville, will enter into or effect, directly or indirectly, any of the foregoing transactions for its own account or for the account of any other such person or entity.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advised Yorkville that it is required to comply with Regulation M promulgated under the Exchange Act. With certain exceptions, Regulation M precludes Yorkville,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offering will terminate on the date that all of our Class B Subordinate Voting Shares offered by this prospectus have been sold by the Selling Securityholders.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B Subordinate Voting Shares are listed on the Nasdaq and the TSX under the ticker symbol “XNDU.”</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an itemization of the total expenses that are expected to be incurred by us in connection with the offer and sale of the Class B Subordinate Voting Shares by the Selling Securityholders. With the exception of the SEC registration fee, all amounts are estimates.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U.S. Dollar</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187,000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183,000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523,090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legal matters relating to U.S. law will be passed upon for us by Cooley LLP, New York, New York. Certain Canadian legal matters, including the legality of the Shares, will be passed upon for us by Osler, Hoskin &amp; Harcourt LLP, Ontario, Canada.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of Xanadu Quantum Technologies Inc., which comprise the consolidated balance sheets as of December 31, 2025 and December 31, 2024, the related consolidated statements of operations and comprehensive loss, shareholders’ equity and cash flows for each of the years in the three-year period ended December 31, 2025, have been included in this prospectus in reliance upon the report of KPMG LLP, independent registered public accounting firm, appearing elsewhere herein, and upon the authority of said firm as experts in accounting and auditing.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of Xanadu Quantum Technologies Limited, which comprise the balance sheet as of December 31, 2025, the related statements of operations and comprehensive loss, shareholders’ equity and cash flows for the period from October 2, 2025 (Inception) through December 31, 2025, have been included in this prospectus in reliance upon the report of KPMG LLP, independent registered public accounting firm, appearing elsewhere herein, and upon the authority of said firm as experts in accounting and auditing.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ENFORCEABILITY OF CIVIL LIABILITIES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U.S. SECURITIES LAWS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corporation incorporated under the laws of the Province of Ontario. Certain of our directors and executive officers reside outside the United States. The assets of those non-resident persons are located outside the United States. As a result, it may not be possible for investors to effect service of process within the United States upon us or those persons or to enforce against us or them, either inside or outside the United States, judgments obtained in U.S. courts, or to enforce in U.S. courts, judgments obtained against them in courts in jurisdictions outside the United States, in any action predicated upon civil liability provisions of the federal securities laws of the United States or other laws of the United States.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appointed an agent upon whom process may be served in any action brought against us under the laws of the United States arising out of this offering or any purchase or sale of securities in connection with this offering. In addition, investors should not assume that the courts of Canada (i) would enforce judgments of U.S. courts obtained in actions against us, our officers or directors, or other said persons, predicated upon the civil liability provisions of the federal securities laws of the United States or other laws of the United States or (ii) would enforce, in original actions, liabilities against us or such directors, officers or experts predicated upon the federal securities laws of the United States or other laws of the United States. In addition, there is doubt as to the applicability of the civil liability provisions of federal securities laws of the United States to original actions instituted in Canada. It may be difficult for an investor, or any other person or entity, to assert U.S. securities laws claims in original actions instituted in Canada.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with respect to the securities being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Additional information is also filed with Canadian Securities Administrators (www.sedarplus.ca).</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Class B Subordinate Voting Shares.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04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3760" w:type="dxa"/>
            <w:vAlign w:val="bottom"/>
            <w:tcBorders>
              <w:bottom w:val="single" w:sz="8" w:color="CCEEFF"/>
            </w:tcBorders>
          </w:tcPr>
          <w:p>
            <w:pPr>
              <w:spacing w:after="0"/>
              <w:rPr>
                <w:sz w:val="23"/>
                <w:szCs w:val="23"/>
                <w:color w:val="auto"/>
              </w:rPr>
            </w:pPr>
          </w:p>
        </w:tc>
        <w:tc>
          <w:tcPr>
            <w:tcW w:w="19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4"/>
        </w:trPr>
        <w:tc>
          <w:tcPr>
            <w:tcW w:w="10340" w:type="dxa"/>
            <w:vAlign w:val="bottom"/>
            <w:gridSpan w:val="17"/>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Audited Financial Statements of Xanadu Quantum Technologies Limited as of December 31, 2025 and for the period from October 2,</w:t>
            </w:r>
          </w:p>
        </w:tc>
        <w:tc>
          <w:tcPr>
            <w:tcW w:w="900" w:type="dxa"/>
            <w:vAlign w:val="bottom"/>
            <w:shd w:val="clear" w:color="auto" w:fill="CCEEFF"/>
          </w:tcPr>
          <w:p>
            <w:pPr>
              <w:spacing w:after="0"/>
              <w:rPr>
                <w:sz w:val="15"/>
                <w:szCs w:val="15"/>
                <w:color w:val="auto"/>
              </w:rPr>
            </w:pPr>
          </w:p>
        </w:tc>
      </w:tr>
      <w:tr>
        <w:trPr>
          <w:trHeight w:val="238"/>
        </w:trPr>
        <w:tc>
          <w:tcPr>
            <w:tcW w:w="10340" w:type="dxa"/>
            <w:vAlign w:val="bottom"/>
            <w:gridSpan w:val="17"/>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 (Inception) through December 31, 2025</w:t>
            </w:r>
          </w:p>
        </w:tc>
        <w:tc>
          <w:tcPr>
            <w:tcW w:w="900" w:type="dxa"/>
            <w:vAlign w:val="bottom"/>
            <w:shd w:val="clear" w:color="auto" w:fill="CCEEFF"/>
          </w:tcPr>
          <w:p>
            <w:pPr>
              <w:spacing w:after="0"/>
              <w:rPr>
                <w:sz w:val="20"/>
                <w:szCs w:val="20"/>
                <w:color w:val="auto"/>
              </w:rPr>
            </w:pPr>
          </w:p>
        </w:tc>
      </w:tr>
      <w:tr>
        <w:trPr>
          <w:trHeight w:val="176"/>
        </w:trPr>
        <w:tc>
          <w:tcPr>
            <w:tcW w:w="103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(KPMG LLP, Toronto, ON, Canada, Auditor Firm ID: 85)</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76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Balance Sheet</w:t>
            </w:r>
          </w:p>
        </w:tc>
        <w:tc>
          <w:tcPr>
            <w:tcW w:w="9300" w:type="dxa"/>
            <w:vAlign w:val="bottom"/>
            <w:tcBorders>
              <w:bottom w:val="single" w:sz="8" w:color="CCEEFF"/>
            </w:tcBorders>
            <w:gridSpan w:val="1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5"/>
        </w:trPr>
        <w:tc>
          <w:tcPr>
            <w:tcW w:w="103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Statement of Operations and Comprehensive Loss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3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Changes in Equity</w:t>
            </w:r>
          </w:p>
        </w:tc>
        <w:tc>
          <w:tcPr>
            <w:tcW w:w="804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103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10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4"/>
        </w:trPr>
        <w:tc>
          <w:tcPr>
            <w:tcW w:w="1034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 of Xanadu Quantum Technologies Limited as of March 31, 2026 and</w:t>
            </w:r>
          </w:p>
        </w:tc>
        <w:tc>
          <w:tcPr>
            <w:tcW w:w="900" w:type="dxa"/>
            <w:vAlign w:val="bottom"/>
            <w:shd w:val="clear" w:color="auto" w:fill="CCEEFF"/>
          </w:tcPr>
          <w:p>
            <w:pPr>
              <w:spacing w:after="0"/>
              <w:rPr>
                <w:sz w:val="16"/>
                <w:szCs w:val="16"/>
                <w:color w:val="auto"/>
              </w:rPr>
            </w:pPr>
          </w:p>
        </w:tc>
      </w:tr>
      <w:tr>
        <w:trPr>
          <w:trHeight w:val="238"/>
        </w:trPr>
        <w:tc>
          <w:tcPr>
            <w:tcW w:w="10340" w:type="dxa"/>
            <w:vAlign w:val="bottom"/>
            <w:gridSpan w:val="17"/>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 and for the three months ended March 31, 2026 and 2025</w:t>
            </w:r>
          </w:p>
        </w:tc>
        <w:tc>
          <w:tcPr>
            <w:tcW w:w="900" w:type="dxa"/>
            <w:vAlign w:val="bottom"/>
            <w:shd w:val="clear" w:color="auto" w:fill="CCEEFF"/>
          </w:tcPr>
          <w:p>
            <w:pPr>
              <w:spacing w:after="0"/>
              <w:rPr>
                <w:sz w:val="20"/>
                <w:szCs w:val="20"/>
                <w:color w:val="auto"/>
              </w:rPr>
            </w:pPr>
          </w:p>
        </w:tc>
      </w:tr>
      <w:tr>
        <w:trPr>
          <w:trHeight w:val="176"/>
        </w:trPr>
        <w:tc>
          <w:tcPr>
            <w:tcW w:w="103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F-13</w:t>
            </w:r>
          </w:p>
        </w:tc>
      </w:tr>
      <w:tr>
        <w:trPr>
          <w:trHeight w:val="20"/>
        </w:trPr>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Operations and Comprehensive Loss</w:t>
            </w:r>
          </w:p>
        </w:tc>
        <w:tc>
          <w:tcPr>
            <w:tcW w:w="572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F-14</w:t>
            </w:r>
          </w:p>
        </w:tc>
      </w:tr>
      <w:tr>
        <w:trPr>
          <w:trHeight w:val="176"/>
        </w:trPr>
        <w:tc>
          <w:tcPr>
            <w:tcW w:w="103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Cash Flows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F-15</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 of Changes in Equity</w:t>
            </w:r>
          </w:p>
        </w:tc>
        <w:tc>
          <w:tcPr>
            <w:tcW w:w="620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F-16</w:t>
            </w:r>
          </w:p>
        </w:tc>
      </w:tr>
      <w:tr>
        <w:trPr>
          <w:trHeight w:val="175"/>
        </w:trPr>
        <w:tc>
          <w:tcPr>
            <w:tcW w:w="103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F-18</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4"/>
        </w:trPr>
        <w:tc>
          <w:tcPr>
            <w:tcW w:w="103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Audited Financial Statements of Xanadu Quantum Technologies Inc. as of December 31, 2025 and 2024, and for each of the years in</w:t>
            </w:r>
          </w:p>
        </w:tc>
        <w:tc>
          <w:tcPr>
            <w:tcW w:w="900" w:type="dxa"/>
            <w:vAlign w:val="bottom"/>
          </w:tcPr>
          <w:p>
            <w:pPr>
              <w:spacing w:after="0"/>
              <w:rPr>
                <w:sz w:val="16"/>
                <w:szCs w:val="16"/>
                <w:color w:val="auto"/>
              </w:rPr>
            </w:pPr>
          </w:p>
        </w:tc>
      </w:tr>
      <w:tr>
        <w:trPr>
          <w:trHeight w:val="238"/>
        </w:trPr>
        <w:tc>
          <w:tcPr>
            <w:tcW w:w="10340" w:type="dxa"/>
            <w:vAlign w:val="bottom"/>
            <w:gridSpan w:val="17"/>
          </w:tcPr>
          <w:p>
            <w:pPr>
              <w:ind w:left="180"/>
              <w:spacing w:after="0"/>
              <w:rPr>
                <w:sz w:val="20"/>
                <w:szCs w:val="20"/>
                <w:color w:val="auto"/>
              </w:rPr>
            </w:pPr>
            <w:r>
              <w:rPr>
                <w:rFonts w:ascii="Times New Roman" w:cs="Times New Roman" w:eastAsia="Times New Roman" w:hAnsi="Times New Roman"/>
                <w:sz w:val="18"/>
                <w:szCs w:val="18"/>
                <w:b w:val="1"/>
                <w:bCs w:val="1"/>
                <w:color w:val="auto"/>
              </w:rPr>
              <w:t>the three-years ended December 31, 2025</w:t>
            </w:r>
          </w:p>
        </w:tc>
        <w:tc>
          <w:tcPr>
            <w:tcW w:w="900" w:type="dxa"/>
            <w:vAlign w:val="bottom"/>
          </w:tcPr>
          <w:p>
            <w:pPr>
              <w:spacing w:after="0"/>
              <w:rPr>
                <w:sz w:val="20"/>
                <w:szCs w:val="20"/>
                <w:color w:val="auto"/>
              </w:rPr>
            </w:pPr>
          </w:p>
        </w:tc>
      </w:tr>
      <w:tr>
        <w:trPr>
          <w:trHeight w:val="216"/>
        </w:trPr>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103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(KPMG LLP, Toronto, ON, Canada, Auditor Firm ID: 85)</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F-43</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76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824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F-44</w:t>
            </w:r>
          </w:p>
        </w:tc>
      </w:tr>
      <w:tr>
        <w:trPr>
          <w:trHeight w:val="176"/>
        </w:trPr>
        <w:tc>
          <w:tcPr>
            <w:tcW w:w="103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F-45</w:t>
            </w:r>
          </w:p>
        </w:tc>
      </w:tr>
      <w:tr>
        <w:trPr>
          <w:trHeight w:val="20"/>
        </w:trPr>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w:t>
            </w:r>
          </w:p>
        </w:tc>
        <w:tc>
          <w:tcPr>
            <w:tcW w:w="678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F-46</w:t>
            </w:r>
          </w:p>
        </w:tc>
      </w:tr>
      <w:tr>
        <w:trPr>
          <w:trHeight w:val="175"/>
        </w:trPr>
        <w:tc>
          <w:tcPr>
            <w:tcW w:w="103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F-47</w:t>
            </w:r>
          </w:p>
        </w:tc>
      </w:tr>
      <w:tr>
        <w:trPr>
          <w:trHeight w:val="20"/>
        </w:trPr>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F-48</w:t>
            </w:r>
          </w:p>
        </w:tc>
      </w:tr>
      <w:tr>
        <w:trPr>
          <w:trHeight w:val="547"/>
        </w:trPr>
        <w:tc>
          <w:tcPr>
            <w:tcW w:w="10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660" w:type="dxa"/>
            <w:vAlign w:val="bottom"/>
            <w:tcBorders>
              <w:top w:val="single" w:sz="8" w:color="CCEEFF"/>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F-1</w:t>
            </w: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Xanadu Quantum Technologies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Xanadu Quantum Technologies Limited (the “Company”) as of December 31, 2025, the related statement of operations and comprehensive loss, shareholders’ equity, and cash flows for the period from October 2, 2025 (Inception) through December 31, 2025, and the related notes (collectively, the “financial statements”). In our opinion, the financial statements present fairly, in all material respects, the financial position of the Company as of December 31, 2025, and the results of its operations and its cash flows for the period from October 2, 2025 (Inception) through December 31, 2025,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Toronto, Canada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9, 2026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860" w:type="dxa"/>
            <w:vAlign w:val="bottom"/>
            <w:gridSpan w:val="4"/>
          </w:tcPr>
          <w:p>
            <w:pPr>
              <w:jc w:val="center"/>
              <w:ind w:right="2330"/>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60" w:type="dxa"/>
            <w:vAlign w:val="bottom"/>
            <w:gridSpan w:val="3"/>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6860" w:type="dxa"/>
            <w:vAlign w:val="bottom"/>
            <w:gridSpan w:val="4"/>
          </w:tcPr>
          <w:p>
            <w:pPr>
              <w:jc w:val="center"/>
              <w:ind w:right="23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 share amounts)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6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3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686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37"/>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Common shares, no par value, unlimited shares authorized, 1 share issued and outstanding at December 31, 2025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34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Subsequent events (Note 10)</w:t>
            </w:r>
          </w:p>
        </w:tc>
        <w:tc>
          <w:tcPr>
            <w:tcW w:w="1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On behalf of the Board of Directors</w:t>
            </w:r>
          </w:p>
        </w:tc>
        <w:tc>
          <w:tcPr>
            <w:tcW w:w="1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 Christian Weedbrook</w:t>
            </w:r>
          </w:p>
        </w:tc>
        <w:tc>
          <w:tcPr>
            <w:tcW w:w="1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Michelle Reynolds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35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Christian Weedbrook, CEO and Director</w:t>
            </w:r>
          </w:p>
        </w:tc>
        <w:tc>
          <w:tcPr>
            <w:tcW w:w="1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Reynolds, Director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October 2,</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(Inception)</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00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jc w:val="right"/>
              <w:ind w:right="781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jc w:val="right"/>
              <w:ind w:right="781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net loss per share, basic and diluted</w:t>
            </w: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10020" w:type="dxa"/>
            <w:vAlign w:val="bottom"/>
            <w:vMerge w:val="continue"/>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4620" w:type="dxa"/>
            <w:vAlign w:val="bottom"/>
          </w:tcPr>
          <w:p>
            <w:pPr>
              <w:spacing w:after="0"/>
              <w:rPr>
                <w:sz w:val="22"/>
                <w:szCs w:val="22"/>
                <w:color w:val="auto"/>
              </w:rPr>
            </w:pPr>
          </w:p>
        </w:tc>
        <w:tc>
          <w:tcPr>
            <w:tcW w:w="23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62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October 2, 2025 (Inception)</w:t>
            </w: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October 2,</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(Inception)</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through</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2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F-6</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Xanadu Quantum Technologies Limited (“Xanadu”, or the “Company”) was incorporated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on October 2, 2025. The corporate office address is located at 777 Bay Street, Suite 2400, Toronto, Ontario.</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formed to facilitate the business combination (the “Business Combination”) between Xanadu Quantum Technologies Inc. (“Old Xanadu”) and Crane Harbor Acquisition Corp. (“SPAC”), a publicly traded special purpose acquisition company pursuant to the Business Combination Agreement (the “Business Combination Agreement”) dated November 3, 2025 between Xanadu, Old Xanadu and SPAC. The Company had not commenced operations until the closing of the Business Combination described in Note 10 below. The Company issued one common share for $1.00 upon incorporation.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with Xanadu and SPAC</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 2025, the Company entered into the Business Combination Agreement with Old Xanadu and SPAC. Upon the closing of the Business Combination, the Company became the holding company of Old Xanadu and SPAC and as of March 27, 2026 its subordinate voting shares (the “Class B Subordinate Voting Shares”) are listed on the Nasdaq Stock Market (“Nasdaq”) and the Toronto Stock Exchange (the “TSX”).</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 2025, the Company and certain investors (the “PIPE Investors”) entered into subscription agreements (which have subsequently been completed) whereby the PIPE Investors agreed to subscribe for and purchase 27,500,000 Class B Subordinate Voting Shares of the Company for a purchase price of $10.00 per share for aggregate gross proceeds of $275,000 (the “PIPE Financing”).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Management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that assumes the Company will continue as a going concern, which contemplates the realization of assets and the settlement of liabilities in the normal course of business. The Company was reliant on Old Xanadu to fund its working capital needs through the closing of the Business Combination described in Note 10 below. Old Xanadu and the Company incurred additional operating losses subsequent to the period end and through completion of the Business Combination. Upon the closing of the Business Combination and the concurrent PIPE Financing, the Company received gross proceeds of $302,000, which the Company believes are sufficient to fund operations for the foreseeable future from the date of issuance of these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Business Combination and the PIPE Financing occurred on March 26, 2026 (the “Closing Date”) (Note 10).</w:t>
      </w:r>
    </w:p>
    <w:p>
      <w:pPr>
        <w:spacing w:after="0" w:line="221" w:lineRule="exact"/>
        <w:rPr>
          <w:sz w:val="20"/>
          <w:szCs w:val="20"/>
          <w:color w:val="auto"/>
        </w:rPr>
      </w:pPr>
    </w:p>
    <w:p>
      <w:pPr>
        <w:ind w:left="180" w:hanging="172"/>
        <w:spacing w:after="0"/>
        <w:tabs>
          <w:tab w:leader="none" w:pos="1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U.S. dollars (“USD”) and prepared on a going concern basis in accordance with accounting principles generally accepted in the United States (“U.S. GAAP”) and pursuant to the accounting and disclosure rules and regulations of the Securities and Exchange Commission (“SEC”).</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180" w:hanging="172"/>
        <w:spacing w:after="0"/>
        <w:tabs>
          <w:tab w:leader="none" w:pos="18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to not opt out of such extended transition period.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Period of operations:</w:t>
      </w:r>
    </w:p>
    <w:p>
      <w:pPr>
        <w:spacing w:after="0" w:line="225"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was incorporated on October 2, 2025. Accordingly, the financial statements presented herein, specifically the statement of operations and comprehensive loss, statement of changes in shareholders’ equity, and statement of cash flows, reflect the results of operations and cash flows for the initial period from October 2, 2025 (Inception) through December 31, 2025.</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balance sheet reflects the financial position of the Company as of December 31, 2025. Because this is the Company’s initial period of operations, there are no comparative prior-period financial statements presented.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Cash:</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is comprised of cash on hand.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  Income taxes:</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estimated future tax consequences of events that have been included in the financial statements or in the Company’s tax returns. Under this method, deferred tax assets and liabilities are recognized for temporary differences between the carrying amounts in the financial statements and the tax basis of assets and liabilities.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to be realized. Factors considered when assessing the likelihood of future realization of deferred tax assets include the Company’s recent net loss experience and expectations of future earnings, capital gains and investments in the applicable jurisdiction, carryforward periods available for tax reporting purposes, among others.</w:t>
      </w:r>
    </w:p>
    <w:p>
      <w:pPr>
        <w:spacing w:after="0" w:line="19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tax returns and applies a two-step approach in recognizing and measuring uncertain tax positions. The first step is to evaluate the tax position for recognition by determining if the available evidence indicates that it is more likely than not that the position will be sustained upon examination by the applicable tax authority. The second step, for those tax positions that meet the recognition criteria, is to measure the tax benefit as the largest amount which is more than 50% likely of being realized upon ultimate settlement.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180" w:hanging="172"/>
        <w:spacing w:after="0"/>
        <w:tabs>
          <w:tab w:leader="none" w:pos="1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share:</w:t>
      </w:r>
    </w:p>
    <w:p>
      <w:pPr>
        <w:spacing w:after="0" w:line="22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available to common shareholders by the weighted average number of common shares outstanding during each period.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 Foreign currency translation and transactions:</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Company’s functional and reporting currency is the U.S. dollar. Monetary assets and liabilities that are denominated in a currency other than the Company’s functional currency are translated into the functional currency using the exchange rates in effect as of the balance sheet dates, and revenues and expenses are translated at the exchange rates prevailing when the transactions occurred. Gains and losses resulting from translation are recognized in other income (expense), net in the statements of operations and comprehensive loss in the period in which they arise. Non-monetary assets and liabilities are translated at historical exchange rates.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 Fair value measurement:</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data when available.</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spacing w:after="0" w:line="162" w:lineRule="exact"/>
        <w:rPr>
          <w:sz w:val="20"/>
          <w:szCs w:val="20"/>
          <w:color w:val="auto"/>
        </w:rPr>
      </w:pPr>
    </w:p>
    <w:p>
      <w:pPr>
        <w:ind w:left="980" w:hanging="324"/>
        <w:spacing w:after="0"/>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market prices in active markets that the reporting entity has the ability to access at the date of the fair value measurement.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measurement of the assets or liabilities.</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are comprised of the following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Deferred transaction costs are costs incurred directly related to the reverse capitalization of the Business Combination and concurrent PIPE Financing and have been deferred to be applied against the proceeds upon closing. The costs were incurred by Old Xanadu, a related party, on behalf of the Company (see Note 9), and are expected to be deductible for tax purposes.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Company’s financial statements.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has recorded a valuation allowance against its deferred tax assets, primarily representing the current year loss, as of December 31, 2025 because the Company’s management believes that it is more likely than not that these assets will not be fully realized.</w:t>
      </w:r>
    </w:p>
    <w:p>
      <w:pPr>
        <w:spacing w:after="0" w:line="18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of December 31, 2025 no accrued interest or penalties have been recorded.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 equity: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Common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number and amount of common shares authorized and issued and outstanding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Issued and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4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1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Unlimited</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w w:val="70"/>
              </w:rPr>
              <w:t>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Unlimited</w:t>
            </w:r>
          </w:p>
        </w:tc>
        <w:tc>
          <w:tcPr>
            <w:tcW w:w="15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common shares have one vote per share. Dividends may be declared and paid on common shares, subject in all cases to authorization by the Board of Directors.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issued and outstanding common shares for the period ended December 31, 2025:</w:t>
      </w:r>
    </w:p>
    <w:p>
      <w:pPr>
        <w:spacing w:after="0" w:line="235"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October 2, 2025</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6"/>
        </w:trPr>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964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F-10</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prepaid expenses and other current assets and due to related party approximate their fair values due to the short-term maturity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net loss per share attributable to common shareholders for the period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(12,035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common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Litigation:</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various legal proceedings in the ordinary course of business. Management believes that there are currently no claims or actions pending against the Company, the ultimate disposition of which could have a material adverse effect on the Company’s results of operations, financial condition, or cash flows, including third party infringement claims, labor and employment claims and threatened claims, tax and other matters.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 Company was not subject to any material litigation or material pending litigation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Company’s sole shareholder (prior to closing of the Business Combination), Director and Chief Executive Officer also serves as Director and Chief Executive Officer of Old Xanadu, a related party. Old Xanadu has provided, and continues to provide, working capital advances for the Company to meet its financial obligations. These advances are non-interest bearing and are due on demand. As of December 31, 2025, the Company owed Old Xanadu $1,818, which is included in Due to related party in the accompanying balance sheet. There were no formal repayment terms in place as of the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has evaluated all events occurring through April 9, 2026, the date on which the Annual Financial Statements were issued, and during which time, nothing has occurred outside the normal course of business operations that would require disclosure except the following:</w:t>
      </w:r>
    </w:p>
    <w:p>
      <w:pPr>
        <w:spacing w:after="0" w:line="162"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2025, Old Xanadu entered into the Business Combination Agreement with SPAC and Xanadu.</w:t>
      </w:r>
    </w:p>
    <w:p>
      <w:pPr>
        <w:spacing w:after="0" w:line="22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Xanadu, Old Xanadu and SPAC consummated the Business Combination. Upon closing, Xanadu became the parent entity of both Old Xanadu and SPAC. Pre-closing, Xanadu’s authorized share capital was amended to consist of three classes of shares: multiple voting shares (the “Class A Multiple Voting Shares”), the Class B Subordinate Voting Shares, and preferred shares issuable in series. At closing of the Business Combination and PIPE Financing, only Class A Multiple Voting Shares and Class B Subordinate Voting Shares were issued and outstanding; no preferred shares have been issued. Each Class A Multiple Voting Share entitles the holder to ten votes per share and each Class B Subordinate Voting Share entitles the holder to one vote per share. Xanadu has authorized an unlimited amount of Class A Multiple Voting Shares, Class B Subordinate Voting Shares, and preferred shares, with no par value.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Subsequent events: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On the Closing Date: (i) each outstanding Old Xanadu preferred share was converted into and exchanged for one Old Xanadu voting common share; and (ii) one minute thereafter, (A) each outstanding Old Xanadu voting common share (including those issued upon conversion of Old Xanadu preferred shares) was transferred to Xanadu in exchange for Class A Multiple Voting Shares, and (B) each</w:t>
      </w:r>
    </w:p>
    <w:p>
      <w:pPr>
        <w:spacing w:after="0" w:line="1" w:lineRule="exact"/>
        <w:rPr>
          <w:sz w:val="20"/>
          <w:szCs w:val="20"/>
          <w:color w:val="auto"/>
        </w:rPr>
      </w:pPr>
    </w:p>
    <w:p>
      <w:pPr>
        <w:jc w:val="both"/>
        <w:ind w:left="660" w:right="20"/>
        <w:spacing w:after="0" w:line="255" w:lineRule="auto"/>
        <w:rPr>
          <w:sz w:val="20"/>
          <w:szCs w:val="20"/>
          <w:color w:val="auto"/>
        </w:rPr>
      </w:pPr>
      <w:r>
        <w:rPr>
          <w:rFonts w:ascii="Times New Roman" w:cs="Times New Roman" w:eastAsia="Times New Roman" w:hAnsi="Times New Roman"/>
          <w:sz w:val="18"/>
          <w:szCs w:val="18"/>
          <w:color w:val="auto"/>
        </w:rPr>
        <w:t>outstanding Old Xanadu non-voting common share was transferred to Xanadu in exchange for Class B Subordinate Voting Shares, in each case, in a number equal to the Exchange Ratio (as defined in the plan of arrangement with respect to the Business Combination (the “Plan of Arrangement”)), with no fractional Xanadu shares issued.</w:t>
      </w:r>
    </w:p>
    <w:p>
      <w:pPr>
        <w:spacing w:after="0" w:line="18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One minute after the foregoing, (i) each option to acquire an Old Xanadu voting common share outstanding immediately prior to the Arrangement Effective Time (as defined in the Plan of Arrangement) (whether vested or unvested and notwithstanding the terms of any Old Xanadu equity incentive plan) was exchanged for options to acquire Class A Multiple Voting Shares and, (ii) each option to acquire an Old Xanadu non-voting common share outstanding immediately prior to the Arrangement Effective Time (whether vested or unvested and notwithstanding the terms of any Old Xanadu equity incentive plan) was exchanged for options to acquire Xanadu Class B Subordinate Voting Shares.</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One minute after the foregoing, (i) the SFTrust Warrants (as defined in the Plan of Arrangement) outstanding immediately prior to the Arrangement Effective Time were exchanged for warrants to purchase Class A Multiple Voting Shares and, (ii) the RBC Warrants (as defined in the Plan of Arrangement) outstanding immediately prior to the Arrangement Effective Time were exchanged for warrants to purchase Class B Subordinate Voting Shares.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Holders of 19,428,395 SPAC Class A common shares exercised their right to redeem such shares for a pro rata portion of SPAC’s trust account, resulting in aggregate redemption payments of approximately $201,154 ($10.35 per share) out of approximately $227,800 in the SPAC trust account at the time. After redemptions, 3,211,605 SPAC Class A shares remained outstanding and were exchanged for Class B Subordinate Voting Shares.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Business Combination, Xanadu issued 27,500,000 Class B Subordinate Voting Shares to PIPE Investors at $10.00 per share for aggregate gross proceeds of $275,000 pursuant to subscription agreements entered into in connection with the Business Combination Agreement. As of December 31, 2025, contingent on the issuance of the Class B Subordinate Voting Shares, Xanadu has commitments of up to $28,950 associated with, and contingent on, the closing of the equity raise.</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27, 2026, in connection with the closing of the Business Combination, Xanadu was listed on Nasdaq and the TSX under the symbol “XNDU”.</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accounting purposes, the Business Combination was accounted for as a reverse recapitalization whereby Old Xanadu was treated as the accounting acquirer and SPAC was treated as the acquired company. Xanadu is the legal parent and is not considered to be the accounting acquirer or acquiree in the Business Combination in accordance with U.S. GAAP.</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272,465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Materials and supplies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8,344</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290,417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grant income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20,235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8,977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30,033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29,998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Old Xanadu convertible preferred shares, no par value, 204,286,254 shares authorized, 199,930,069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6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outstanding at December 31, 2025 </w:t>
            </w:r>
            <w:r>
              <w:rPr>
                <w:rFonts w:ascii="Times New Roman" w:cs="Times New Roman" w:eastAsia="Times New Roman" w:hAnsi="Times New Roman"/>
                <w:sz w:val="29"/>
                <w:szCs w:val="29"/>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213,002</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Old Xanadu common shares, no par value, 336,123,821 shares authorized, 55,964,876 shares issued and outstanding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6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at December 31, 2025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shares, unlimited Xanadu Class A Multiple Voting Shares authorized, no par value, 255,226,928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unlimited Xanadu Class B Subordinate Voting Shares authorized, no par value, 43,284,436 shares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at March 31, 2026</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478,174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(228,314)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(206,303)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261,977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24,444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319,040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1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Old Xanadu convertible preferred shares and common shares have been retroactively recast after giving effect to the Reverse Recapitalization. Refer to Note 3 for additional information.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events (note 18)</w:t>
            </w:r>
          </w:p>
        </w:tc>
        <w:tc>
          <w:tcPr>
            <w:tcW w:w="550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On behalf of the Board of Directors</w:t>
            </w:r>
          </w:p>
        </w:tc>
        <w:tc>
          <w:tcPr>
            <w:tcW w:w="5500" w:type="dxa"/>
            <w:vAlign w:val="bottom"/>
          </w:tcPr>
          <w:p>
            <w:pPr>
              <w:spacing w:after="0"/>
              <w:rPr>
                <w:sz w:val="24"/>
                <w:szCs w:val="24"/>
                <w:color w:val="auto"/>
              </w:rPr>
            </w:pPr>
          </w:p>
        </w:tc>
      </w:tr>
      <w:tr>
        <w:trPr>
          <w:trHeight w:val="453"/>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 Christian Weedbrook</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Michelle Reynolds</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Christian Weedbrook, Chief Executive Officer and Director</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XANADU QUANTUM TECHNOLOGIES LIMITED Consolidated Statements of Operations and Comprehensive Loss (Unaudited) (In thousands, except for share and per share amounts)</w:t>
      </w:r>
    </w:p>
    <w:p>
      <w:pPr>
        <w:spacing w:after="0" w:line="17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below)</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26,099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13,464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Gain on fair value of earn out share liabilities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2,833</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(20,604</w:t>
            </w:r>
          </w:p>
        </w:tc>
        <w:tc>
          <w:tcPr>
            <w:tcW w:w="22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loss per share, basic and diluted </w:t>
            </w:r>
            <w:r>
              <w:rPr>
                <w:rFonts w:ascii="Times New Roman" w:cs="Times New Roman" w:eastAsia="Times New Roman" w:hAnsi="Times New Roman"/>
                <w:sz w:val="29"/>
                <w:szCs w:val="29"/>
                <w:color w:val="auto"/>
                <w:vertAlign w:val="superscript"/>
              </w:rPr>
              <w:t>(1)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(0.22)</w:t>
            </w: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Weighted average shares outstanding </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72,458,652</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55,649,457</w:t>
            </w:r>
          </w:p>
        </w:tc>
        <w:tc>
          <w:tcPr>
            <w:tcW w:w="80" w:type="dxa"/>
            <w:vAlign w:val="bottom"/>
            <w:shd w:val="clear" w:color="auto" w:fill="CCEEFF"/>
          </w:tcPr>
          <w:p>
            <w:pPr>
              <w:spacing w:after="0"/>
              <w:rPr>
                <w:sz w:val="22"/>
                <w:szCs w:val="22"/>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(12,205)</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comprehensive loss</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(20,821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(12,142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0" w:right="780" w:hanging="2992"/>
        <w:spacing w:after="0" w:line="372" w:lineRule="auto"/>
        <w:tabs>
          <w:tab w:leader="none" w:pos="331" w:val="left"/>
        </w:tabs>
        <w:numPr>
          <w:ilvl w:val="0"/>
          <w:numId w:val="1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loss per share and weighted average shares outstanding have been retroactively recast after giving effect to the Reverse Recapitalization. See accompanying notes to condensed consolidated 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operating right of 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accretion on 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Material and supplies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grant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(7,035)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(16,293)</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reverse recapitalization and Private Investment in Public Equity (“PIPE”) transaction, net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263,599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w:t>
            </w: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264,361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2,239</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foreign exchange rates on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256,301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(15,951)</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77,619</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272,465</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61,668</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Old Xanadu convertible preferred shares to Class A Multiple Voting Shares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213,003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warrant liabilities to 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additional paid-in capital to share capital upon cashless exercise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earn-out share liability at closing of Reverse Recapitalization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7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Old Xanadu</w:t>
            </w:r>
          </w:p>
        </w:tc>
        <w:tc>
          <w:tcPr>
            <w:tcW w:w="170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Old Xanadu</w:t>
            </w:r>
          </w:p>
        </w:tc>
        <w:tc>
          <w:tcPr>
            <w:tcW w:w="170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0" w:type="dxa"/>
            <w:vAlign w:val="bottom"/>
          </w:tcPr>
          <w:p>
            <w:pPr>
              <w:spacing w:after="0"/>
              <w:rPr>
                <w:sz w:val="13"/>
                <w:szCs w:val="13"/>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7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700" w:type="dxa"/>
            <w:vAlign w:val="bottom"/>
            <w:gridSpan w:val="6"/>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680" w:type="dxa"/>
            <w:vAlign w:val="bottom"/>
          </w:tcPr>
          <w:p>
            <w:pPr>
              <w:spacing w:after="0"/>
              <w:rPr>
                <w:sz w:val="14"/>
                <w:szCs w:val="14"/>
                <w:color w:val="auto"/>
              </w:rPr>
            </w:pPr>
          </w:p>
        </w:tc>
        <w:tc>
          <w:tcPr>
            <w:tcW w:w="17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7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7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(Class A &amp; B)</w:t>
            </w:r>
          </w:p>
        </w:tc>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8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December 31,</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17,718,491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213,002</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4,959,800</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7,585</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220,587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10,151</w:t>
            </w:r>
          </w:p>
        </w:tc>
        <w:tc>
          <w:tcPr>
            <w:tcW w:w="14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(206,303)</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gridSpan w:val="2"/>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24,444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182,211,578</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51,005,076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168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Balance as of December 31,</w:t>
            </w: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68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 xml:space="preserve">2025 as adjusted </w:t>
            </w:r>
            <w:r>
              <w:rPr>
                <w:rFonts w:ascii="Times New Roman" w:cs="Times New Roman" w:eastAsia="Times New Roman" w:hAnsi="Times New Roman"/>
                <w:sz w:val="23"/>
                <w:szCs w:val="23"/>
                <w:color w:val="auto"/>
                <w:vertAlign w:val="superscript"/>
              </w:rPr>
              <w:t>(1)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199,930,069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213,002</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55,964,876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7,585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220,587</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(206,303)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upon exchange of Old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Xanadu’s preferred and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680" w:type="dxa"/>
            <w:vAlign w:val="bottom"/>
          </w:tcPr>
          <w:p>
            <w:pPr>
              <w:ind w:left="180"/>
              <w:spacing w:after="0" w:line="200" w:lineRule="exact"/>
              <w:rPr>
                <w:sz w:val="20"/>
                <w:szCs w:val="20"/>
                <w:color w:val="auto"/>
              </w:rPr>
            </w:pPr>
            <w:r>
              <w:rPr>
                <w:rFonts w:ascii="Times New Roman" w:cs="Times New Roman" w:eastAsia="Times New Roman" w:hAnsi="Times New Roman"/>
                <w:sz w:val="14"/>
                <w:szCs w:val="14"/>
                <w:color w:val="auto"/>
              </w:rPr>
              <w:t xml:space="preserve">common stock </w:t>
            </w:r>
            <w:r>
              <w:rPr>
                <w:rFonts w:ascii="Times New Roman" w:cs="Times New Roman" w:eastAsia="Times New Roman" w:hAnsi="Times New Roman"/>
                <w:sz w:val="23"/>
                <w:szCs w:val="23"/>
                <w:color w:val="auto"/>
                <w:vertAlign w:val="superscript"/>
              </w:rPr>
              <w:t>(2)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(199,930,069)</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(213,002)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(55,964,876)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(7,585)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255,894,945</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220,587</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(20,604)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(20,604)</w:t>
            </w:r>
          </w:p>
        </w:tc>
        <w:tc>
          <w:tcPr>
            <w:tcW w:w="0" w:type="dxa"/>
            <w:vAlign w:val="bottom"/>
          </w:tcPr>
          <w:p>
            <w:pPr>
              <w:spacing w:after="0"/>
              <w:rPr>
                <w:sz w:val="1"/>
                <w:szCs w:val="1"/>
                <w:color w:val="auto"/>
              </w:rPr>
            </w:pPr>
          </w:p>
        </w:tc>
      </w:tr>
      <w:tr>
        <w:trPr>
          <w:trHeight w:val="148"/>
        </w:trPr>
        <w:tc>
          <w:tcPr>
            <w:tcW w:w="1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1,439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1,789,955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1,181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Reverse Recapitalization</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PIPE transaction, net</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680" w:type="dxa"/>
            <w:vAlign w:val="bottom"/>
          </w:tcPr>
          <w:p>
            <w:pPr>
              <w:ind w:left="180"/>
              <w:spacing w:after="0" w:line="200" w:lineRule="exact"/>
              <w:rPr>
                <w:sz w:val="20"/>
                <w:szCs w:val="20"/>
                <w:color w:val="auto"/>
              </w:rPr>
            </w:pPr>
            <w:r>
              <w:rPr>
                <w:rFonts w:ascii="Times New Roman" w:cs="Times New Roman" w:eastAsia="Times New Roman" w:hAnsi="Times New Roman"/>
                <w:sz w:val="14"/>
                <w:szCs w:val="14"/>
                <w:color w:val="auto"/>
              </w:rPr>
              <w:t xml:space="preserve">of transaction costs </w:t>
            </w:r>
            <w:r>
              <w:rPr>
                <w:rFonts w:ascii="Times New Roman" w:cs="Times New Roman" w:eastAsia="Times New Roman" w:hAnsi="Times New Roman"/>
                <w:sz w:val="23"/>
                <w:szCs w:val="23"/>
                <w:color w:val="auto"/>
                <w:vertAlign w:val="superscript"/>
              </w:rPr>
              <w:t>(3)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40,308,937</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265,006</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265,006</w:t>
            </w:r>
          </w:p>
        </w:tc>
        <w:tc>
          <w:tcPr>
            <w:tcW w:w="14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263,599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Earn-out share liability at</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Closing</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of Reverse</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(9,997)</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(9,997)</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(9,997)</w:t>
            </w:r>
          </w:p>
        </w:tc>
        <w:tc>
          <w:tcPr>
            <w:tcW w:w="0" w:type="dxa"/>
            <w:vAlign w:val="bottom"/>
          </w:tcPr>
          <w:p>
            <w:pPr>
              <w:spacing w:after="0"/>
              <w:rPr>
                <w:sz w:val="1"/>
                <w:szCs w:val="1"/>
                <w:color w:val="auto"/>
              </w:rPr>
            </w:pPr>
          </w:p>
        </w:tc>
      </w:tr>
      <w:tr>
        <w:trPr>
          <w:trHeight w:val="171"/>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Warrant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2,769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2,769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 to Equity</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517,527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1,397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1,397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Cumulative translation</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 net of tax</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(217)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43"/>
        </w:trPr>
        <w:tc>
          <w:tcPr>
            <w:tcW w:w="168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March 31, 2026</w:t>
            </w:r>
          </w:p>
        </w:tc>
        <w:tc>
          <w:tcPr>
            <w:tcW w:w="8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298,511,364</w:t>
            </w: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478,174</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478,174</w:t>
            </w: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12,325</w:t>
            </w: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(228,314</w:t>
            </w: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(208</w:t>
            </w:r>
          </w:p>
        </w:tc>
        <w:tc>
          <w:tcPr>
            <w:tcW w:w="120" w:type="dxa"/>
            <w:vAlign w:val="bottom"/>
            <w:tcBorders>
              <w:top w:val="single" w:sz="8" w:color="CCEEFF"/>
            </w:tcBorders>
            <w:gridSpan w:val="2"/>
          </w:tcPr>
          <w:p>
            <w:pPr>
              <w:jc w:val="right"/>
              <w:ind w:right="23"/>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261,977</w:t>
            </w: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 of shares have been retroactively recast after giving effect to the Reverse Recapitalization.</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1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Refer to Note 3 for additional information on the preferred and common stock exchange.</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Common shares includes 1,100,000 earn-out shares (the “Earn-out Shares”) issued and outstanding, but subject to forfeiture. These earn-out shares were classified within liabilities on the consolidated balance sheets as of March 31, 2026. Refer to Note 3 for additional information.</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7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Old Xanadu</w:t>
            </w:r>
          </w:p>
        </w:tc>
        <w:tc>
          <w:tcPr>
            <w:tcW w:w="17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Old Xanadu</w:t>
            </w:r>
          </w:p>
        </w:tc>
        <w:tc>
          <w:tcPr>
            <w:tcW w:w="162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3"/>
                <w:szCs w:val="13"/>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72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700" w:type="dxa"/>
            <w:vAlign w:val="bottom"/>
            <w:gridSpan w:val="6"/>
            <w:vMerge w:val="continue"/>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17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7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(Class A &amp; B)</w:t>
            </w:r>
          </w:p>
        </w:tc>
        <w:tc>
          <w:tcPr>
            <w:tcW w:w="12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8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8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7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4"/>
                <w:szCs w:val="14"/>
                <w:color w:val="auto"/>
              </w:rPr>
            </w:pPr>
          </w:p>
        </w:tc>
        <w:tc>
          <w:tcPr>
            <w:tcW w:w="100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4"/>
                <w:szCs w:val="14"/>
                <w:color w:val="auto"/>
              </w:rPr>
            </w:pP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0"/>
        </w:trPr>
        <w:tc>
          <w:tcPr>
            <w:tcW w:w="174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December 31,</w:t>
            </w:r>
          </w:p>
        </w:tc>
        <w:tc>
          <w:tcPr>
            <w:tcW w:w="8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2024 as previously</w:t>
            </w: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17,718,491</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213,002</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4,924,563</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7,399</w:t>
            </w:r>
          </w:p>
        </w:tc>
        <w:tc>
          <w:tcPr>
            <w:tcW w:w="7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220,401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5,937</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(135,636)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87,495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60" w:type="dxa"/>
            <w:vAlign w:val="bottom"/>
            <w:gridSpan w:val="2"/>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recapitalization</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182,211,578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50,642,709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17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Balance as of December 31,</w:t>
            </w:r>
          </w:p>
        </w:tc>
        <w:tc>
          <w:tcPr>
            <w:tcW w:w="8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 xml:space="preserve">2024 as adjusted </w:t>
            </w:r>
            <w:r>
              <w:rPr>
                <w:rFonts w:ascii="Times New Roman" w:cs="Times New Roman" w:eastAsia="Times New Roman" w:hAnsi="Times New Roman"/>
                <w:sz w:val="23"/>
                <w:szCs w:val="23"/>
                <w:color w:val="auto"/>
                <w:vertAlign w:val="superscript"/>
              </w:rPr>
              <w:t>(1)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199,930,069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213,002</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55,567,272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7,399</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220,401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5,937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(135,636)</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87,495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(12,205)</w:t>
            </w:r>
          </w:p>
        </w:tc>
        <w:tc>
          <w:tcPr>
            <w:tcW w:w="8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(12,205)</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137,683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7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Cumulative translation</w:t>
            </w: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 net of tax</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74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199,930,069</w:t>
            </w: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213,002</w:t>
            </w: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55,704,955</w:t>
            </w: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7,475</w:t>
            </w: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56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ind w:left="52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220,477</w:t>
            </w: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6,779</w:t>
            </w: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(147,841</w:t>
            </w:r>
          </w:p>
        </w:tc>
        <w:tc>
          <w:tcPr>
            <w:tcW w:w="10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(3,144</w:t>
            </w:r>
          </w:p>
        </w:tc>
        <w:tc>
          <w:tcPr>
            <w:tcW w:w="10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76,271</w:t>
            </w:r>
          </w:p>
        </w:tc>
        <w:tc>
          <w:tcPr>
            <w:tcW w:w="20" w:type="dxa"/>
            <w:vAlign w:val="bottom"/>
            <w:tcBorders>
              <w:top w:val="single" w:sz="8" w:color="CCEEFF"/>
              <w:bottom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 of shares has been retroactively recast after giving effect to the Reverse Recapitalization.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Xanadu Quantum Technologies Limited (the “Company” or “Xanadu”) was incorporated under the Business Corporations Act (Ontario) on October 2, 2025. The Company was formed to facilitate the merger (the “Reverse Recapitalization”) between Xanadu Quantum Technologies Inc. (“Old Xanadu”) and Crane Harbor Acquisition Corp. (“SPAC”), a special purpose acquisition company. Old Xanadu was incorporated under the Canada Business Corporations Act on December 7, 2016, and subsequently continued under the Business Corporations Act (Ontario) on October 29, 2025. The Company is headquartered in Toronto, Ontario.</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26, 2026, Xanadu completed its previously announced merger pursuant to the merger agreement (the “Agreement”), dated November 3, 2025, with Old Xanadu and SPAC, a Cayman Islands exempted corporation. SPAC, was incorporated on January 2, 2025, for the purpose of effecting a merger, share exchange, asset acquisition, share purchase, reorganization or similar reverse recapitalization with one or more businesses. Upon closing, Xanadu became the parent company of both Old Xanadu and SPAC. SPAC was continued under the Business Corporations Act (Ontario) on March 20, 2026 and was renamed Xanadu Quantum Technologies Former SPAC Inc. on March 27, 2026. The Reverse Recapitalization was accounted for as a reverse recapitalization in accordance with U.S. GAAP.</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the Reverse Capitalization, the Xanadu Class B Subordinate Voting Shares began trading on the Nasdaq and the TSX under the symbol “XNDU”.</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specializes in designing photonic devices and the platforms around them, including the experimentation and development of quantum computers available on the cloud with supporting software, along with quantum simulators and other related products and offerings. The Company’s mission is to build quantum computers that are useful and available to people everywhere.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“Interim Financial Statements”) have been prepared on a going concern basis in accordance with U.S. generally accepted accounting principles (“U.S. GAAP”) for interim financial reporting and pursuant to the accounting and disclosure rules and regulations of the United States Securities Commission (“SEC”), and reflect all adjustments, consisting only of normal recurring adjustments, which are, in the opinion of management, necessary for a fair presentation of the financial position as of March 31, 2026 and the results of operations and cash flows for the periods presented. Certain information or footnote disclosures, normally included in annual financial statements prepared in accordance with GAAP, have been condensed or omitted pursuant to the rules and regulations of the SEC for interim financial reporting. Accordingly, they do not include all of the information and footnotes required by GAAP for complete financial statements. Operating results for the three months ended March 31, 2026 are not necessarily indicative of results that may be expected for the full year or any other period. Unless otherwise noted, these Interim Financial Statements are presented in thousands of United States (U.S.) dollars, which is also the Company’s functional currency.</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Interim Financial Statements should be read in conjunction with the Company’s audited financial statements included in our Annual Report on Form 20-F for the year ended December 31, 2025 filed with the SEC and Canadian Securities Administrators (“CSA”) on April 9, 2026.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3, ‘Reverse Recapitalization,’ the Agreement was accounted for as a reverse recapitalization. Accordingly, the information presented for the year ended December 31, 2025, and the three months ended March 31, 2025, represents the results and financial position of Old Xanadu.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include the accounts of the Company and its wholly owned subsidiaries. Any subsidiaries that are formed or acquired during the year are consolidated from their respective dates of formation or acquisition.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Xanadu’s accounting estimates and assumptions may change over time in response to risks and uncertainties. As of the date of issuance of these Interim Financial Statements, Xanadu is not aware of any specific event or circumstance that would require Xanadu to update estimates, judgments or revise the carrying value of any assets or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Interim Financial Statements have been prepared on a basis that assumes the Company will continue as a going concern, which contemplates the realization of assets and the settlement of liabilities in the normal course of business. The Company has incurred recurring net losses and negative cash flows from operations since inception.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an accumulated deficit of $228,314 and $206,303, respectively. For the three months ended March 31, 2026 and 2025, the Company incurred net losses of $20,604 and $12,205, respectively, and the Company had net cash outflows from operating activities of $7,035 and $16,293,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cash and cash equivalents of $272,465 and $16,164 and net working capital of $270,182 and $31,237,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26, 2026, Xanadu successfully consummated its reverse recapitalization with SPAC and Old Xanadu and a concurrent PIPE investment. The Company received gross proceeds from the Reverse Recapitalization of $301,646, which includes $275,000 of PIPE financing and $26,646 of cash from the SPAC.</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Xanadu’s current operating plan, management believes that the existing cash and cash equivalents will be sufficient to fund operations, research and development activities, and capital expenditure requirements for at least 12 months from the date these condensed consolidated financial statements are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to not opt out of such extended transition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Cash and cash equivalents: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Xanadu considers all short term highly liquid investments purchased with original maturities at their acquisition date of three months or less to be cash equivalents. Xanadu maintains its cash and investments with major financial institutions, which, at times, may exceed federally insured limits. Xanadu did not hold any cash equivalents as of March 31, 2026 and December 31, 2025.</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Accounts receivable,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Trade receivables are non-interest bearing and represent amounts billed and currently due from customers at the gross invoiced amount as well as unbilled amounts related to unconditional rights for consideration to be received for services performed but not yet invoiced. A receivable is recorded when Xanadu has an unconditional right to receive payment. Xanadu’s accounts receivable includes trade and other types of receivables.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 periodic basis, management evaluates its accounts receivable and determines whether to provide an allowance for credit losses. This assessment is based on management’s evaluation of the aging of accounts, historical collection experience and current economic expectations. As of March 31, 2026 and December 31, 2025, Xanadu had not recorded any allowance for doubtful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Materials and supplies,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Materials and supplies are carried at average cost and recorded in materials and supplies in the consolidated balance sheets. Materials and supplies used in research and development efforts are expensed when consumed if an alternative use exists, otherwise are expensed when incurred.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Materials and supplies are evaluated for excess quantities and obsolescence. This evaluation includes an analysis of Xanadu’s current and future strategic plans, risk of technological obsolescence, and general market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and equipment,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acquisition cost, less accumulated depreciation and impairment. Depreciation on property and equipment is computed on a straight-line basis over the estimated useful lives of the assets at the time of acquisition. Leasehold improvements are amortized over the lesser of the term of the lease or the useful life of the asset.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useful lives of Xanadu’s property and equipment are as follows:</w:t>
            </w:r>
          </w:p>
        </w:tc>
        <w:tc>
          <w:tcPr>
            <w:tcW w:w="3600" w:type="dxa"/>
            <w:vAlign w:val="bottom"/>
          </w:tcPr>
          <w:p>
            <w:pPr>
              <w:spacing w:after="0"/>
              <w:rPr>
                <w:sz w:val="20"/>
                <w:szCs w:val="20"/>
                <w:color w:val="auto"/>
              </w:rPr>
            </w:pPr>
          </w:p>
        </w:tc>
      </w:tr>
      <w:tr>
        <w:trPr>
          <w:trHeight w:val="216"/>
        </w:trPr>
        <w:tc>
          <w:tcPr>
            <w:tcW w:w="76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systems and servers</w:t>
            </w:r>
          </w:p>
        </w:tc>
        <w:tc>
          <w:tcPr>
            <w:tcW w:w="360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36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 and computer equipment</w:t>
            </w:r>
          </w:p>
        </w:tc>
        <w:tc>
          <w:tcPr>
            <w:tcW w:w="360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198"/>
        </w:trPr>
        <w:tc>
          <w:tcPr>
            <w:tcW w:w="7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600" w:type="dxa"/>
            <w:vAlign w:val="bottom"/>
            <w:shd w:val="clear" w:color="auto" w:fill="CCEEFF"/>
          </w:tcPr>
          <w:p>
            <w:pPr>
              <w:jc w:val="center"/>
              <w:ind w:left="1290"/>
              <w:spacing w:after="0" w:line="198" w:lineRule="exact"/>
              <w:rPr>
                <w:sz w:val="20"/>
                <w:szCs w:val="20"/>
                <w:color w:val="auto"/>
              </w:rPr>
            </w:pPr>
            <w:r>
              <w:rPr>
                <w:rFonts w:ascii="Times New Roman" w:cs="Times New Roman" w:eastAsia="Times New Roman" w:hAnsi="Times New Roman"/>
                <w:sz w:val="18"/>
                <w:szCs w:val="18"/>
                <w:color w:val="auto"/>
                <w:w w:val="99"/>
              </w:rPr>
              <w:t>Shorter of lease term or</w:t>
            </w:r>
          </w:p>
        </w:tc>
      </w:tr>
      <w:tr>
        <w:trPr>
          <w:trHeight w:val="234"/>
        </w:trPr>
        <w:tc>
          <w:tcPr>
            <w:tcW w:w="7640" w:type="dxa"/>
            <w:vAlign w:val="bottom"/>
            <w:shd w:val="clear" w:color="auto" w:fill="CCEEFF"/>
          </w:tcPr>
          <w:p>
            <w:pPr>
              <w:spacing w:after="0"/>
              <w:rPr>
                <w:sz w:val="20"/>
                <w:szCs w:val="20"/>
                <w:color w:val="auto"/>
              </w:rPr>
            </w:pPr>
          </w:p>
        </w:tc>
        <w:tc>
          <w:tcPr>
            <w:tcW w:w="360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9"/>
              </w:rPr>
              <w:t>estimated useful life</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Repairs and maintenance costs are expensed as incurred. Upon disposition of property and equipment, the cost and related accumulated depreciation are derecognized and any resulting gain or loss is reflected in other income (expense), net within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Intangible assets, net: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Xanadu’s intangible assets include patents and external software licenses, which are carried at cost less accumulated amortization and impairment. Intangible assets with finite useful lives are amortized over their estimated useful lives on a straight-line basis. Xanadu capitalizes costs associated with internal use software incurred during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when the project is substantially complete and ready for its intended purpose. Costs incurred during the preliminary project and post-implementation stages are expensed as incurred.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7080" w:type="dxa"/>
            <w:vAlign w:val="bottom"/>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7080" w:type="dxa"/>
            <w:vAlign w:val="bottom"/>
          </w:tcPr>
          <w:p>
            <w:pPr>
              <w:ind w:left="57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perpetual software licenses</w:t>
            </w:r>
          </w:p>
        </w:tc>
        <w:tc>
          <w:tcPr>
            <w:tcW w:w="7080" w:type="dxa"/>
            <w:vAlign w:val="bottom"/>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3 years</w:t>
            </w:r>
          </w:p>
        </w:tc>
      </w:tr>
      <w:tr>
        <w:trPr>
          <w:trHeight w:val="547"/>
        </w:trPr>
        <w:tc>
          <w:tcPr>
            <w:tcW w:w="41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F-20</w:t>
            </w:r>
          </w:p>
        </w:tc>
      </w:tr>
    </w:tbl>
    <w:p>
      <w:pPr>
        <w:sectPr>
          <w:pgSz w:w="11900" w:h="16838" w:orient="portrait"/>
          <w:cols w:equalWidth="0" w:num="1">
            <w:col w:w="11240"/>
          </w:cols>
          <w:pgMar w:left="320" w:top="765"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including property and equipment and finite-lived intangible assets, are reviewed for impairment whenever events or changes in circumstances indicate that the carrying amounts of such assets may not be recoverable. The determination of whether any impairment exists includes a comparison of estimated undiscounted future cash flows anticipated to be generated over the remaining life of the asset or asset group to its net carrying value. If the estimated undiscounted future cash flows associated with the asset or asset group are less than the carrying value, an impairment loss is recognized to the extent the carrying amount of the asset or asset group exceeds its fair value. Xanadu did not recognize any impairment losses on long-lived assets for the three months ended March 31,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Foreign currency translation and transactions: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Xanadu’s reporting currency is the U.S. dollar and its functional currency is the U.S. dollar. The functional currency of Xanadu’s subsidiary, Old Xanadu, is the Canadian dollar. The results and financial position of the foreign subsidiaries whose functional currency is not the U.S. dollar are translated at exchange rates in effect as of the consolidated balance sheet dates for assets and liabilities and at average exchange rates for revenues and expenses for the respective periods. Translation adjustments are included as a cumulative translation adjustment in accumulated other comprehensive income (loss).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Monetary assets and liabilities that are denominated in a currency other than Xanadu’s functional currency are translated into the functional currency using the exchange rates as of the consolidated balance sheet dates, and revenues and expenses are translated at the exchange rates prevailing when the transactions occurred. Gains and losses resulting from translation are recognized in other income, net in the consolidated statements of operations and comprehensive loss in the period in which they arise. Non-monetary assets and liabilities are translated at historical exchange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Revenue recognition: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Xanadu derives revenue primarily from: (i) professional services related to research projects, proof of concept development, and quantum education and (ii) compute and other services which includes provision of compute services, such as co-development and execution of quantum algorithms on Xanadu’s quantum computing systems, and provision, on a non-exclusive basis via access to its photonic-based hardware, of quantum-computing-as-a-service (“QCaaS”).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based on the following five step model in accordance with Accounting Standards Codification (“ASC”) 606, Revenue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Customers:</w:t>
      </w:r>
    </w:p>
    <w:p>
      <w:pPr>
        <w:spacing w:after="0" w:line="207"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Xanadu enters into contracts that can include various combinations of products and services, which are generally capable of being distinct and accounted for as separate performance obligations. Payment terms on invoiced amounts are typically net 30 days or less. Contract durations generally range from six months to several years. A contract’s transaction price is allocated to each distinct performance obligation based on their estimated standalone selling price. Xanadu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Xanadu determines standalone selling price by considering its overall pricing objectives and market conditions, including cost plus a reasonable margin. Significant pricing practices considered include Xanadu’s discounting practices, the value of the contracts, historical standalone sales, customer demographics, geographic locations, and the number and types of users within the contracts.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net of taxes, which are remitted to governmental authorities.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Professional services arrangements often include a series of activities with progress billing milestones. Xanadu’s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Xanadu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Xanadu’s compute services represent a performance obligation that is satisfied over-time. Revenue is recognized on a straight-line basis over the contract term.</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 may result in accounts receivable, contract assets, and deferred revenue on Xanadu’s consolidated balance sheets. A receivable is recorded in the period in which Xanadu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Xanadu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Xanadu defers commission payments to employees or third parties that are direct and incremental to the acquisition of customer contracts in the period the contract is executed and are recognized into sales and marketing expense over a period consistent with the transfer of goods or services to the customer if that period is greater than one year. No such costs were incurred in the years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Cost of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consists of direct expenses related to building specialized quantum hardware and delivering Xanadu’s services. Cost of revenue includes direct manufacturing costs, personnel-related expenses, including stock-based compensation, and overhead costs, including operating lease expenses, allocated to customer-facing functions. Depreciation and amortization of quantum systems and related software are excluded from cost of revenue.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Research and development: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consolidated statement of operations and comprehensive loss as incurred. Research and development expenses are comprised of costs in performing research and development activities and include personnel-related costs, process development costs, chip fabrication costs, consulting fees, lab materials, software costs, cloud computing costs, and other related costs.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Where tangible assets or software to be used in research and development activities is constructed by Xanadu or acquired, the costs are expensed as incurred unless those assets have an alternative future use. When assets with alternative future use are consumed in research and development activities they are recorded as research and development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Xanadu accounts for stock-based compensation in accordance with ASC 718, Compensation - Stock Compensation. Equity-settled stock based payments to employees and others providing similar services are recognized as stock-based compensation expense based on the fair value of the equity instruments at the grant date. Stock-based compensation expense is recognized over the requisite service period on a straight-line basis, with a corresponding increase in additional paid-in capital within shareholders’ equity. Xanadu recognizes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Investment tax credits and government assistance: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Refundable investment tax credits (“ITCs”) pursuant to the Scientific Research and Experimental Development (“SR&amp;ED”) program and other government assistance including grants and wage subsidies related to current expenditures are recorded as other operating income, net within the consolidated statements of operations and comprehensive loss. Non-refundable investment tax credits are recorded as a reduction in income tax expense. Xanadu accounts for investment tax credits and government grants and subsidies by analogy to International Accounting Standard 20, Accounting for Government Grants and Disclosures of Government Assistance. The investment tax credits, and government grants and subsidies are recognized in income in the period when the related expenditure is recognized as an expense provided there is reasonable assurance that Xanadu has complied with, and will continue to comply with, all conditions necessary to obtain the government assistance or credit. Government grants and assistance related to capitalized expenditures are recognized as a reduction to the carrying amount of the related asset.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Net loss per share: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available to common shareholders by the weighted average number of Xanadu Class A Multiple Voting Shares and Xanadu Class B Subordinate Voting Shares outstanding during each period. Xanadu’s potentially dilutive securities include outstanding stock options and other equity compensation securities, Earn-out Shares and warrants. Diluted net loss per share gives effect to all potentially dilutive securities, assuming that such shares were outstanding and dilutive during each period, except when the inclusion of the potentially dilutive securities would have an anti-dilutive effect. Xanadu applies the two-class method when computing net loss per share, as Xanadu has issued shares that meet the definition of participating securities. The two-class method allocates earnings between common shareholders and holders of participating securities.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Fair value measurement: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principal or most advantageous market in which Xanadu would transact. The fair value hierarchy prioritizes which inputs should be used in measuring fair value and requires the use of observable market data when available. 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spacing w:after="0" w:line="189" w:lineRule="exact"/>
        <w:rPr>
          <w:sz w:val="20"/>
          <w:szCs w:val="20"/>
          <w:color w:val="auto"/>
        </w:rPr>
      </w:pPr>
    </w:p>
    <w:p>
      <w:pPr>
        <w:ind w:left="660" w:hanging="328"/>
        <w:spacing w:after="0"/>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market prices in active markets that the reporting entity has the ability to access at the date of the fair value measurement.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measurement of the assets or liabilities.</w:t>
      </w:r>
    </w:p>
    <w:p>
      <w:pPr>
        <w:spacing w:after="0" w:line="15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Xanadu to concentration of credit risk principally consist of cash and cash equivalents and accounts receivable. Xanadu’s policy is to place its cash and cash equivalents with major financial institutions to limit the amount of credit exposure. For Xanadu’s accounts receivable and grants receivable, credit risk is dependent upon the financial stability of individual customers or government entity. Xanadu performs ongoing evaluations of its customers’ and grantor’s financial condition and does not have a history of material credit losses. Refer to Note 12 for additional information about Xanadu’s significant customers. Other receivables represent an insignificant part of Xanadu’s financial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Earn-out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ASC 815 - “Derivatives and Hedging”, unvested Earn-out Shares (as discussed in Note 3 below) are classified as a liability because they are not considered to be indexed to the Company’s common shares. The Company will re-measure the earn-out shares to fair value at each reporting period with the changes recognized as a gain (loss) on the fair value of earn-out liabilities on the consolidated statement of operations and comprehensive loss. Upon issuance and release of the shares after each triggering event (as described in Note 3) is met, the related Earn-out Shares will be remeasured to fair value at that time with the changes recognized as a gain (loss) on the fair value of earn-out liabilities on the consolidated statement of operations and comprehensive loss, and the Earn-out Shares will be reclassed to shareholders’ equity on the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 “Derivatives and Hedging”. For derivative financial instruments that are accounted for as liabilities, the derivative instrument is initially recorded at its fair value on the grant date and is then re-measured at each reporting date, with changes in the fair value reported in the consolidated statement of operations and comprehensive loss. For financial instruments that meet the requirements for equity classification, the instruments are recorded at their fair value at the date of issuance or reclassification and are not subsequently remeasured. The classification of derivative instruments, including whether such instruments should be recorded as liabilities or as equity, is evaluated at the end of each reporting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Recapitalization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1, Xanadu entered into the Agreement on November 3, 2025 with SPAC and Old Xanadu. The Reverse Recapitalization closed on March 26, 2026 (the “Closing Date”). At the closing of the transactions contemplated by the Agreement (the “Closing”), Xanadu had three authorized classes of shares, multiple voting shares (“Xanadu Class A Multiple Voting Shares”), subordinate voting shares (“Xanadu Class B Subordinate Voting Shares”) and preferred shares (“Xanadu Preferred Shares”) issuable in series, of which only Xanadu Class A Multiple Voting Shares and Xanadu Class B Subordinate Voting Shares were issued and outstanding.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8" w:name="page209"/>
    <w:bookmarkEnd w:id="208"/>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Immediately prior to the effective time of the Reverse Recapitalization, the following occurred:</w:t>
      </w:r>
    </w:p>
    <w:p>
      <w:pPr>
        <w:spacing w:after="0" w:line="223" w:lineRule="exact"/>
        <w:rPr>
          <w:sz w:val="20"/>
          <w:szCs w:val="20"/>
          <w:color w:val="auto"/>
        </w:rPr>
      </w:pPr>
    </w:p>
    <w:p>
      <w:pPr>
        <w:ind w:left="328" w:right="20" w:hanging="328"/>
        <w:spacing w:after="0" w:line="284" w:lineRule="auto"/>
        <w:tabs>
          <w:tab w:leader="none" w:pos="3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Preferred Share Exchange: </w:t>
      </w:r>
      <w:r>
        <w:rPr>
          <w:rFonts w:ascii="Times New Roman" w:cs="Times New Roman" w:eastAsia="Times New Roman" w:hAnsi="Times New Roman"/>
          <w:sz w:val="18"/>
          <w:szCs w:val="18"/>
          <w:color w:val="auto"/>
        </w:rPr>
        <w:t>Each then issued and outstanding preferred share in the capital of Old Xanadu was converted into and exchanged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voting common share in the capital of Old Xanadu (each, an “Old Xanadu Voting Common Share”).</w:t>
      </w:r>
    </w:p>
    <w:p>
      <w:pPr>
        <w:spacing w:after="0" w:line="158"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Recapitalization and Share Exchange: </w:t>
      </w:r>
      <w:r>
        <w:rPr>
          <w:rFonts w:ascii="Times New Roman" w:cs="Times New Roman" w:eastAsia="Times New Roman" w:hAnsi="Times New Roman"/>
          <w:sz w:val="18"/>
          <w:szCs w:val="18"/>
          <w:color w:val="auto"/>
        </w:rPr>
        <w:t>Each outstanding Old Xanadu Voting Common Share (including those issued upon the preferred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was transferred to the Company in exchange for a multiple voting share in the capital of Xanadu (each, a “Xanadu Class A Multiple Voting Share”) based on an exchange ratio of 11.28 (the “Exchange Ratio”). Each outstanding non-voting common share in the capital of Old Xanadu (each, an “Old Xanadu Non-Voting Common Share”) was transferred to the Company in exchange for a subordinate voting share in the capital of Xanadu (each, a “Xanadu Class B Subordinate Voting Share”) based on the same Exchange Ratio.</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Award Exchange: </w:t>
      </w:r>
      <w:r>
        <w:rPr>
          <w:rFonts w:ascii="Times New Roman" w:cs="Times New Roman" w:eastAsia="Times New Roman" w:hAnsi="Times New Roman"/>
          <w:sz w:val="18"/>
          <w:szCs w:val="18"/>
          <w:color w:val="auto"/>
        </w:rPr>
        <w:t>Each Old Xanadu voting option outstanding (whether vested or unvested) was exchanged for an option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Xanadu Class A Multiple Voting Shares (each, a “Xanadu Class A Multiple Voting Share Option”). Each Old Xanadu non-voting option outstanding (whether vested or unvested) was exchanged for an option to purchase Xanadu Class B Subordinate Voting Shares (each, a “Xanadu Class B Subordinate Voting Share Option”). The number of Xanadu shares subject to each new option was determined by multiplying the number of Old Xanadu common shares subject to the original option by the Exchange Ratio (rounded down to the nearest whole share). The per-share exercise price for the new options was determined by dividing the prior exercise price by the Exchange Ratio. The strike price was converted from Canadian dollars to U.S. dollars to align with the trading of the Xanadu Class B Subordinate Voting Shares on the Nasdaq market.</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 Exercise and Exchange</w:t>
      </w:r>
      <w:r>
        <w:rPr>
          <w:rFonts w:ascii="Times New Roman" w:cs="Times New Roman" w:eastAsia="Times New Roman" w:hAnsi="Times New Roman"/>
          <w:sz w:val="18"/>
          <w:szCs w:val="18"/>
          <w:color w:val="auto"/>
        </w:rPr>
        <w:t>: The Old Xanadu SFTrust Warrants and RBC Warrants (as defined below) outstanding immediately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of the Reverse Recapitalization were exchanged for warrants to purchase Xanadu Class A Multiple Voting Shares (“MVS Warrants”) and Xanadu Class B Subordinate Voting Shares (“SVS Warrants”) based on the Exchange Ratio and a U.S. dollar denominated strike price. The Old Xanadu SFTrust Warrants were exchanged for warrants exercisable for 383,645 Xanadu Class A Multiple Voting Shares at a price of $0.02 per share and 136,329 Xanadu Class A Multiple Voting Shares at a price of $0.15 per share. Subsequently, on March 30, 2026, holders exercised the SFTrust Warrants on a net basis, resulting in 517,527 of these warrants being exchanged for Xanadu Class A Multiple Voting Shares on a cashless basis. The Old Xanadu RBC Warrants (as defined below) were exchanged for 157,960 warrants to purchase Xanadu Class B Subordinate Voting Shares at a price of $1.15 per share warrants to purchase Xanadu Class B Subordinate Voting Shares (“SVS Warrants”).</w:t>
      </w:r>
    </w:p>
    <w:p>
      <w:pPr>
        <w:spacing w:after="0" w:line="184" w:lineRule="exact"/>
        <w:rPr>
          <w:rFonts w:ascii="Times New Roman" w:cs="Times New Roman" w:eastAsia="Times New Roman" w:hAnsi="Times New Roman"/>
          <w:sz w:val="18"/>
          <w:szCs w:val="18"/>
          <w:color w:val="auto"/>
        </w:rPr>
      </w:pPr>
    </w:p>
    <w:p>
      <w:pPr>
        <w:ind w:left="328" w:hanging="328"/>
        <w:spacing w:after="0" w:line="284" w:lineRule="auto"/>
        <w:tabs>
          <w:tab w:leader="none" w:pos="3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PIPE Financing: </w:t>
      </w:r>
      <w:r>
        <w:rPr>
          <w:rFonts w:ascii="Times New Roman" w:cs="Times New Roman" w:eastAsia="Times New Roman" w:hAnsi="Times New Roman"/>
          <w:sz w:val="18"/>
          <w:szCs w:val="18"/>
          <w:color w:val="auto"/>
        </w:rPr>
        <w:t>Xanadu issued and sold 27.5 million Xanadu Class B Subordinate Voting Shares to investors in the PIPE (“PIPE Investors”)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$10.00 per share for aggregate gross proceeds of $275,000.</w:t>
      </w:r>
    </w:p>
    <w:p>
      <w:pPr>
        <w:spacing w:after="0" w:line="158" w:lineRule="exact"/>
        <w:rPr>
          <w:rFonts w:ascii="Times New Roman" w:cs="Times New Roman" w:eastAsia="Times New Roman" w:hAnsi="Times New Roman"/>
          <w:sz w:val="18"/>
          <w:szCs w:val="18"/>
          <w:color w:val="auto"/>
        </w:rPr>
      </w:pPr>
    </w:p>
    <w:p>
      <w:pPr>
        <w:ind w:left="328" w:hanging="328"/>
        <w:spacing w:after="0" w:line="284" w:lineRule="auto"/>
        <w:tabs>
          <w:tab w:leader="none" w:pos="3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Sponsor Earn-out Shares: </w:t>
      </w:r>
      <w:r>
        <w:rPr>
          <w:rFonts w:ascii="Times New Roman" w:cs="Times New Roman" w:eastAsia="Times New Roman" w:hAnsi="Times New Roman"/>
          <w:sz w:val="18"/>
          <w:szCs w:val="18"/>
          <w:color w:val="auto"/>
        </w:rPr>
        <w:t>Crane Harbor Sponsor, LLC (the “SPAC Sponsor”) subjected 1,100,000 Xanadu Class B Subordinate Voting Shares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earn-out arrangement (“Earn-out Shares”), which were classified as a liability recognized at fair value.</w:t>
      </w:r>
    </w:p>
    <w:p>
      <w:pPr>
        <w:spacing w:after="0" w:line="26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65"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Below are the shares outstanding immediately following the Reverse Recapitalization and PIPE investment:</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60" w:type="dxa"/>
            <w:vAlign w:val="bottom"/>
            <w:tcBorders>
              <w:bottom w:val="single" w:sz="8" w:color="CCEEFF"/>
            </w:tcBorders>
          </w:tcPr>
          <w:p>
            <w:pPr>
              <w:spacing w:after="0"/>
              <w:rPr>
                <w:sz w:val="24"/>
                <w:szCs w:val="24"/>
                <w:color w:val="auto"/>
              </w:rPr>
            </w:pPr>
          </w:p>
        </w:tc>
        <w:tc>
          <w:tcPr>
            <w:tcW w:w="836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of Voting</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 Xanadu Shareholders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257,684,899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PIPE Investors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27,500,000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SPAC Public Shareholders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3,211,605</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SPAC Private Placement Shareholders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2,264,000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0"/>
        </w:trPr>
        <w:tc>
          <w:tcPr>
            <w:tcW w:w="862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SPAC Sponsor Shares </w:t>
            </w:r>
            <w:r>
              <w:rPr>
                <w:rFonts w:ascii="Times New Roman" w:cs="Times New Roman" w:eastAsia="Times New Roman" w:hAnsi="Times New Roman"/>
                <w:sz w:val="29"/>
                <w:szCs w:val="29"/>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7,333,333</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Common Shares by Shareholder</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gridSpan w:val="2"/>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297,993,837</w:t>
            </w:r>
          </w:p>
        </w:tc>
        <w:tc>
          <w:tcPr>
            <w:tcW w:w="220" w:type="dxa"/>
            <w:vAlign w:val="bottom"/>
            <w:vMerge w:val="continue"/>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Xanadu Class A Multiple Voting Shares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254,709,401</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70"/>
        </w:trPr>
        <w:tc>
          <w:tcPr>
            <w:tcW w:w="862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Xanadu Class B Subordinate Voting Shares </w:t>
            </w:r>
            <w:r>
              <w:rPr>
                <w:rFonts w:ascii="Times New Roman" w:cs="Times New Roman" w:eastAsia="Times New Roman" w:hAnsi="Times New Roman"/>
                <w:sz w:val="29"/>
                <w:szCs w:val="29"/>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43,284,436</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Common Shares by Class</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620" w:type="dxa"/>
            <w:vAlign w:val="bottom"/>
            <w:gridSpan w:val="2"/>
            <w:vMerge w:val="continue"/>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297,993,837</w:t>
            </w:r>
          </w:p>
        </w:tc>
        <w:tc>
          <w:tcPr>
            <w:tcW w:w="220" w:type="dxa"/>
            <w:vAlign w:val="bottom"/>
            <w:vMerge w:val="continue"/>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410"/>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Includes 1,100,000 Earn-out Shares subject to forfeiture. Refer to the section below for additional information.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on a fully-diluted basis immediately following the Reverse Recapitalization and PIPE investment were: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0" w:type="dxa"/>
            <w:vAlign w:val="bottom"/>
            <w:tcBorders>
              <w:bottom w:val="single" w:sz="8" w:color="CCEEFF"/>
            </w:tcBorders>
          </w:tcPr>
          <w:p>
            <w:pPr>
              <w:spacing w:after="0"/>
              <w:rPr>
                <w:sz w:val="24"/>
                <w:szCs w:val="24"/>
                <w:color w:val="auto"/>
              </w:rPr>
            </w:pPr>
          </w:p>
        </w:tc>
        <w:tc>
          <w:tcPr>
            <w:tcW w:w="836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of Voting</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 Xanadu Shareholders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257,684,899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Old Xanadu Options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47,360,480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 Xanadu Warrants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677,934</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PIPE Investors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27,500,000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SPAC Public Shareholders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3,211,605</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SPAC Private Placement Shareholders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2,264,000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0"/>
        </w:trPr>
        <w:tc>
          <w:tcPr>
            <w:tcW w:w="862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SPAC Sponsor Shares </w:t>
            </w:r>
            <w:r>
              <w:rPr>
                <w:rFonts w:ascii="Times New Roman" w:cs="Times New Roman" w:eastAsia="Times New Roman" w:hAnsi="Times New Roman"/>
                <w:sz w:val="29"/>
                <w:szCs w:val="29"/>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7,333,333</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Fully Diluted Shares</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620" w:type="dxa"/>
            <w:vAlign w:val="bottom"/>
            <w:gridSpan w:val="2"/>
            <w:vMerge w:val="continue"/>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346,032,251</w:t>
            </w:r>
          </w:p>
        </w:tc>
        <w:tc>
          <w:tcPr>
            <w:tcW w:w="220" w:type="dxa"/>
            <w:vAlign w:val="bottom"/>
            <w:vMerge w:val="continue"/>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410"/>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Includes 1,100,000 Earn-out Shares subject to forfeiture. Refer to the section below for additional information.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proceeds from the Reverse Recapitalization were $301,646, which includes $275,000 of PIPE financing and $26,646 from SPAC. The Company incurred $52,157 in total costs related to the Reverse Recapitalization and PIPE financing, of which $37,915 were costs directly related to the issuance of shares, of which $1,264 was allocated to the issuance of the earn out shares, and thus expensed to the consolidated statement of operations and comprehensive loss, and the remaining $36,651 was recorded against share capital. These direct transaction costs consist primarily of legal, accounting, advisory, and other professional fees and were deducted from proceeds of the Reverse Recapitalization and PIPE financing, the net of which is recorded in common shares on the consolidated balance sheet. Total indirect and incremental transaction costs resulting from the Reverse Recapitalization were $15,506 of which $5,465 was expensed to the consolidated statement of operations and comprehensive income for three months ended March 31, 2026.</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Reverse Recapitalization was accounted for as a reverse recapitalization in accordance with U.S. GAAP. Under this method of accounting, SPAC was treated as the ‘acquired’ company and Old Xanadu was treated as the accounting acquirer for financial reporting purposes. Accordingly, the consolidated financial statements represent the continuation of the financial statements of Old Xanadu, with the Reverse Recapitalization being treated as the equivalent of Xanadu issuing shares for the net assets of SPAC, accompanied by a recapitalization. The net assets of SPAC are stated at historical cost, with no goodwill or other intangible assets recorded. Historical retained earnings (accumulated deficit) was carried forward following completion of the Reverse Recapitalization and the shareholder’s equity of Xanadu is presented based on historical equity of Old Xanadu, recast to reflect that Reverse Recapitalization.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Reverse Recapitalization, the SPAC Sponsor was the holder of 7,333,333 Class B shares in SPAC (the “SPAC Class B Shares”). Pursuant to the terms of the Plan of Arrangement, the SPAC Class B Shares were exchanged for Xanadu Class B Subordinate Voting Shares. The SPAC Sponsor subjected 1,100,000 Xanadu Class B Subordinate Voting Shares it received in the transactions contemplated by the Reverse Recapitalization, to an earn-out based on the price of the Xanadu Class B Subordinate Voting Shares as follows: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the Closing, at any time during the period following the Closing and expiring on the fourth anniversary of the Closing Date (the “Vesting Term”),</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  550,000 of the Earn-Out Shares shall be forfeited by the SPAC Sponsor for no consideration if the share price of Xanadu Class B Subordinate Voting Shares is not at least $12.50 per Xanadu Class B Subordinate Voting Shares for 20 trading days within any 30 consecutive trading day period during the Vesting Term, and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(ii) 550,000 additional Earn-Out Shares shall be forfeited by the SPAC Sponsor for no consideration if the share price of Xanadu Class B Subordinate Voting Shares is not at least $15.00 per Xanadu Class B Subordinate Voting Shares for 20 trading days within any 30 consecutive trading day period during the Vesting Term provided.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Vesting is not subject to any employment conditions of the holder of the Earn-Out Shares. However, in the event of (A) a merger, amalgamation, arrangement, consolidation or other business combination involving Xanadu, (B) a sale of all or substantially all of the assets of Xanadu, or (C) any other transaction or series of related transactions as a result of which the holders of Xanadu Class B Subordinate Voting Shares immediately prior to such transaction cease to own at least a majority of the outstanding Xanadu Class B Subordinate Voting Shares or its successor entity, in any case, during the Vesting Term, then, immediately prior to the consummation of such transaction, any and all Earn-Out Shares shall become fully vested and shall no longer be subject to forfeiture under the Reverse Recapitalization Agreement and sponsor letter agreement entered into on November 3, 2025 between the SPAC Sponsor, SPAC, Old Xanadu and Xanadu.</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Earn-out Shares are classified as liabilities in our consolidated balance sheet as of March 31, 2026 and are re-measured at fair value each period-end through to settlement.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closing of the Reverse Recapitalization, the Earn-out Shares had a fair value of $9,997. As of March 31, 2026, the Earn-out Shares had a fair value of $7,164, with the changes in the fair value between the Closing Date and March 31, 2026 of $2,833 recognized as a gain on fair value of earn-out liabilities within the consolidated statements of operations and comprehensive loss. Additionally, the Company incurred $1,264 in costs related to the issuance of the Earn-out Shares, which was recorded to general and administrative operating expenses on the consolidated statement of operations and comprehensive loss. See Note 11 for additional information.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none of the triggering events have occurred; however, on May 11, 2026, certain triggering events were achieved, resulting in the vesting of 550,000 shares. Refer to Note 18 for additional information.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accounts receivable include trade and other receivables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5,011</w:t>
            </w: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w:t>
            </w:r>
          </w:p>
        </w:tc>
      </w:tr>
      <w:tr>
        <w:trPr>
          <w:trHeight w:val="23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r>
      <w:tr>
        <w:trPr>
          <w:trHeight w:val="223"/>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allowance for doubtful accounts as of March 31, 2026 and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are comprised of the following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materials and supplies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4,772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professional services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5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3,309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b w:val="1"/>
                <w:bCs w:val="1"/>
                <w:color w:val="auto"/>
                <w:w w:val="93"/>
              </w:rPr>
              <w:t>8,173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other payroll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0"/>
        </w:trPr>
        <w:tc>
          <w:tcPr>
            <w:tcW w:w="86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3,278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2,191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majority of other accrued expenses and current liabilities relate to research and development (“R&amp;D”) consumables received by the Company but not yet billed by the suppliers.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March 31, 2026 and December 31, 2025: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systems and servers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Test and computer equipment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16,831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9,565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31,377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31,598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17,181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18,313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depreciation expense of $1,152 and $946 related to property and equipment,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Intangible Assets,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as of March 31, 2026 and December 31, 2025: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6"/>
                <w:szCs w:val="16"/>
                <w:color w:val="auto"/>
              </w:rPr>
            </w:pPr>
          </w:p>
        </w:tc>
        <w:tc>
          <w:tcPr>
            <w:tcW w:w="94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Net Book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7,565</w:t>
            </w:r>
          </w:p>
        </w:tc>
        <w:tc>
          <w:tcPr>
            <w:tcW w:w="36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(3,632)</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software licenses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10,076</w:t>
            </w: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(5,241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4,835</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20"/>
                <w:szCs w:val="20"/>
                <w:color w:val="auto"/>
              </w:rPr>
            </w:pPr>
          </w:p>
        </w:tc>
        <w:tc>
          <w:tcPr>
            <w:tcW w:w="10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7,586</w:t>
            </w:r>
          </w:p>
        </w:tc>
        <w:tc>
          <w:tcPr>
            <w:tcW w:w="36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(3,352)</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software licenses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9,992</w:t>
            </w: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(4,864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amortization expense of $465 and $331 related to intangible assets,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Long-term debt: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Company’s long-term debt is comprised of the SIF Loan (as defined below) and the FedDev Loan (as defined below)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SIF Loan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FedDev Loan</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r>
      <w:tr>
        <w:trPr>
          <w:trHeight w:val="223"/>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SIF Loan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Strategic Innovation Fund Agreement, by and between Old Xanadu and His Majesty the King in Right of Canada as represented by the Minister of Industry, as amended (the “SIF Loan”), SIF is committed to provide the Company contributions up to C$40,000 contingent on the Company incurring defined eligible expenditures. Contributions from SIF shall be used for the development of photonic-based, fault-tolerant quantum computers, including projects involving the adaptation of research findings for commercial applications, development of current products through the implementation of new or incremental technology, and development of process improvements which reduce the environmental footprint of current production. As of March 31, 2026 and December 31, 2025, the Company has received C$36,000 and C$35,682 in total funding from SIF, respectively.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SIF Loan includes certain covenants requiring the Company to support high-skilled jobs in Canada, collaborate with Canadian institutions and small and medium-sized Canadian-based enterprises, and invest in R&amp;D within Canada. Repayments of the SIF Loan can also be triggered upon default on loan covenants in the agreement, termination of the agreement, or upon a change of control that has not been approved by the Government of Canada. Old Xanadu determined the Reverse Recapitalization did not constitute a change in control as defined in the SIF Loan and no approvals were required by the Government of Canada. As of March 31, 2026, the Company was in compliance with all events that would trigger default or termination of the agreement.</w:t>
      </w:r>
    </w:p>
    <w:p>
      <w:pPr>
        <w:spacing w:after="0" w:line="1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the SIF Loan as a liability on the Company’s consolidated balance sheets in accordance with ASC 470-10-25, </w:t>
      </w:r>
      <w:r>
        <w:rPr>
          <w:rFonts w:ascii="Times New Roman" w:cs="Times New Roman" w:eastAsia="Times New Roman" w:hAnsi="Times New Roman"/>
          <w:sz w:val="18"/>
          <w:szCs w:val="18"/>
          <w:i w:val="1"/>
          <w:iCs w:val="1"/>
          <w:color w:val="auto"/>
        </w:rPr>
        <w:t>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Future Revenues</w:t>
      </w:r>
      <w:r>
        <w:rPr>
          <w:rFonts w:ascii="Times New Roman" w:cs="Times New Roman" w:eastAsia="Times New Roman" w:hAnsi="Times New Roman"/>
          <w:sz w:val="18"/>
          <w:szCs w:val="18"/>
          <w:color w:val="auto"/>
        </w:rPr>
        <w:t>. The SIF Loan is initially measured at face value and subsequently amortized using the effective interest method, which includes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over the estimated term of the SIF Loan. The amortization schedule is based on projected cash flows derived from the Company’s long-term revenue forecast. 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income (expense), net. As the SIF Loan originated through a government program, a market rate of interest is not imputed in accordance with the scope limitations of ASC 835.</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determined a weighted average effective interest rate of 4.68% and 4.69%, respectively, based on the most recent revenue projections at each reporting date. During the three months ended March 31, 2026 and 2025, the Company recognized $312 and $198 of interest expense, respectively, related to the SIF Loan, inclusive of foreign exchange, within interest income (expense), net in the consolidated statements of operations and comprehensive loss.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value of the SIF Loan for the three months ended March 31, 2026:</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due to foreign exchange rates, net of contributions received</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r>
      <w:tr>
        <w:trPr>
          <w:trHeight w:val="249"/>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changes in foreign exchange rates</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27,612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has classified the SIF Loan as non-current as repayments will not commence within the 12 months following the balance sheet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FedDev Loan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regional quantum initiative contribution agreement between Old Xanadu and His Majesty the King in Right of Canada as represented by the Minister of Federal Economic Development Agency for Southern Ontario (the “FedDev Loan”), an aggregate principal amount of C$3,750 is made available to the Company based on the Company’s incurrence of eligible expenditures. Proceeds from the FedDev Loan shall be used to advance and commercialize the Company’s quantum products. The Company had received C$3,375 in gross proceeds from the FedDev Loan at March 31, 2026 and December 31, 2025.</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FedDev Loan is repayable in 60 monthly installments commencing on April 1, 2027. As the FedDev Loan originated through a government program with regulated interest, a market rate of interest is not imputed in accordance with the scope exclusions of ASC 835.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FedDev Loan includes certain event of defaults, including if the Company fails to meet the objectives or milestones outlined in the agreement. Repayment of the FedDev Loan can also be triggered upon default of the agreement. As of March 31, 2026, the Company is not aware of any events that would trigger default of the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value of the FedDev Loan for the three months ended March 31, 2026:</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2,462</w:t>
            </w:r>
          </w:p>
        </w:tc>
      </w:tr>
      <w:tr>
        <w:trPr>
          <w:trHeight w:val="236"/>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due to foreign exchange rates</w:t>
            </w:r>
          </w:p>
        </w:tc>
        <w:tc>
          <w:tcPr>
            <w:tcW w:w="4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10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contributions were received on the FedDev Loan for the three months ended March 31, 2026. As of March 31, 2026, the Company has classified the FedDev Loan as non-current as repayments will not commence within the 12 months following the balance sheet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 Liabilities: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warrant liabilities were comprised of the SFTrust Warrants (as defined below) and RBC Warrants (as defined below). The carrying value of the warrant liabilities as of March 31, 2026 and December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400" w:type="dxa"/>
            <w:vAlign w:val="bottom"/>
            <w:tcBorders>
              <w:bottom w:val="single" w:sz="8" w:color="CCEEFF"/>
            </w:tcBorders>
          </w:tcPr>
          <w:p>
            <w:pPr>
              <w:spacing w:after="0"/>
              <w:rPr>
                <w:sz w:val="21"/>
                <w:szCs w:val="21"/>
                <w:color w:val="auto"/>
              </w:rPr>
            </w:pPr>
          </w:p>
        </w:tc>
        <w:tc>
          <w:tcPr>
            <w:tcW w:w="4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MVS Warrants (previously SFTrust Warrants)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8"/>
                <w:szCs w:val="18"/>
                <w:color w:val="auto"/>
              </w:rPr>
            </w:pPr>
          </w:p>
        </w:tc>
      </w:tr>
      <w:tr>
        <w:trPr>
          <w:trHeight w:val="23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SVS Warrants (previously RBC Warrants)</w:t>
            </w: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r>
      <w:tr>
        <w:trPr>
          <w:trHeight w:val="223"/>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 liabilities</w:t>
            </w:r>
          </w:p>
        </w:tc>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44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2916"/>
              <w:spacing w:after="0"/>
              <w:rPr>
                <w:sz w:val="20"/>
                <w:szCs w:val="20"/>
                <w:color w:val="auto"/>
              </w:rPr>
            </w:pPr>
            <w:r>
              <w:rPr>
                <w:rFonts w:ascii="Times New Roman" w:cs="Times New Roman" w:eastAsia="Times New Roman" w:hAnsi="Times New Roman"/>
                <w:sz w:val="18"/>
                <w:szCs w:val="18"/>
                <w:color w:val="auto"/>
              </w:rPr>
              <w:t>F-31</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warrant liabilities is estimated using a Black-Scholes option pricing model. Inherent in a Black-Scholes option pricing model are assumptions related to the fair value of the underlying common shares, expected stock-price volatility, expected term, risk-free interest rate and dividend yield.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MVS Warrants (previously SFTrust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2018, 34,000 warrants were issued to Silicon Valley Bank (“2018 SFTrust Warrants”). The 2018 SFTrust Warrants were issued with an exercise price of C$0.29 per share and a ten year term from their original issuance. The fair value of the 2018 SFTrust Warrants on their respective grant dates were recognized within additional paid-in capital with an offset to debt issuance costs.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2021 amendment, Silicon Valley Bank was issued warrants to purchase 24,164 voting common shares of Old Xanadu representing 0.1% of the fully diluted shares, post Series B financing in 2021 (“Series B Financing”), per the terms of the Silicon Valley Bank loan agreement, on the same terms and conditions as established for other common shareholders (“2021 SFTrust Warrants”, and together with the 2018 SFTrust Warrants, “SFTrust Warrants”). Half of the 2021 SFTrust Warrants vested immediately upon entering into the amendment with the other half vesting upon the draw of the Silicon Valley Bank term loan (the “SVB Term Loan”) exceeding $5,000. Upon issuance, all 12,082 vested SFTrust Warrants had an exercise price of $1.69 per share and a 12-year term from their original issuance. 12,082 of the SFTrust Warrants have expired because Old Xanadu did not draw more than $5,000 of the SVB Term Loan prior to its full repayment and extinguishment on April 30,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Exchange and Reclassification to Equity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and immediately prior to the Reverse Recapitalization on March 26, 2026, there were 46,082 SFTrust Warrants issued and outstanding classified as liabilities on the consolidated balance sheets. Immediately prior to the Reverse Recapitalization, these SFTrust Warrants were exchanged for 519,974 warrants to purchase Xanadu Class A Multiple Voting Shares based on the Exchange Ratio established in the Reverse Recapitalization and a U.S. dollar denominated strike price (“MVS Warrants”). Upon exchange, Xanadu issued MVS warrants exercisable for 383,645 Xanadu Class A Multiple Voting Shares at a price of $0.02 per share and warrants exercisable for 136,329 Class A Multiple Voting Shares at a price of $0.15 per share.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Closing and the subsequent dual-listing of the Company’s shares on the Nasdaq and the TSX, the Company re-evaluated the MVS Warrants under ASC 815-40, Contracts in Entity’s Own Equity. Management determined that the MVS Warrants meet the requirements for equity classification as they are now considered indexed to the Company’s own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Exercise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30, 2026, following the reclassification to equity, the holder of the outstanding MVS Warrants elected to settle the instruments through a cashless net exercise feature. Pursuant to the terms of the warrant agreement, the holder surrendered 2,447 MVS warrants to cover the aggregate exercise price, resulting in the issuance of 517,527 Xanadu Class A Multiple Voting Shares. In connection with this exercise, $1,397 was reclassified from additional paid in capital to share capital.</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all MVS Warrants were exercised. As of December 31, 2025, the MVS Warrants had a fair value of $915, which was included as a current liability on the consolidated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SVS Warrants (previously RBC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23, 2023, the Company signed a credit agreement with the Royal Bank of Canada (“RBC”) for a maximum principal amount of $25,000 (the “RBC Term Loan”). In connection with the RBC Term Loan, RBC was issued warrants to purchase 13,999 non-voting common shares of the Company on the same terms and conditions as established for other common shareholders (the “RBC Warrants”). The RBC Warrants were issued with an exercise price of $12.94 per share and a 12-year term from their original issuance.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Exchange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and immediately prior to the Reverse Recapitalization on March 26, 2026, there were 13,999 RBC Warrants issued and outstanding. Upon the Closing, these RBC Warrants were exchanged for 157,960 SVS Warrants to purchase Class B Subordinate Voting Shares based on the Exchange Ratio established in the Reverse Recapitalization and a U.S. dollar denominated strike price of $1.15 per share. Under ASC 815-40, as part of the Reverse Recapitalization the Company determined that the SVS Warrants qualify for equity classification. Accordingly, the warrant liability balance was remeasured and subsequently reclassified to additional paid in capital in the first quarter of 2026, with no further remeasurement required.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Accordingly, the MVS and SVS Warrants were remeasured to a final fair value as of the reclassification date, resulting in a net loss of $895 recorded within other operating income, net for the three months ended March 31, 2026. Following this final remeasurement, the warrant liability balance of $2,769 was reclassified to additional-paid-in capital, and the warrants are no longer subject to remeasurement.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listing of the Company’s assets and liabilities required to be measured at fair value on a recurring basis and where they are classified within the fair value hierarchy as of March 31, 2026 and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94"/>
        </w:trPr>
        <w:tc>
          <w:tcPr>
            <w:tcW w:w="5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98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 Level 3</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share liabilities - Level 3</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7,164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SIF Loan – Level 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23,493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27,536</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FedDev Loan – Level 2</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2,421</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change in fair value of the Company’s warrant and earn-out share liabilities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Earn out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6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Establishment of earn out share liabilities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9,997</w:t>
            </w:r>
          </w:p>
        </w:tc>
      </w:tr>
      <w:tr>
        <w:trPr>
          <w:trHeight w:val="257"/>
        </w:trPr>
        <w:tc>
          <w:tcPr>
            <w:tcW w:w="73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Change in estimated fair value, net of changes in foreign exchange rates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(2,833)</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(1,938)</w:t>
            </w: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warrant liability to equity</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(2,769)</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(2,769)</w:t>
            </w:r>
          </w:p>
        </w:tc>
      </w:tr>
      <w:tr>
        <w:trPr>
          <w:trHeight w:val="223"/>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March 31,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Changes in fair value of warrant liabilities have been recognized within other operating income, net and changes in earn-out liabilities have been recognized in gain on fair value of earn-out share liabilities in the consolidated statements of operations and comprehensive loss.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the Company’s long-term debt, including the SIF Loan and FedDev Loan, are estimated based on discounting future cash flows at currently available interest rates with comparable terms. The fair value measurement of the SIF Loan is considered a Level 3 valuation as it is based on a significant unobservable input related to the projected timing and amount of future revenues which determine expected future repayments.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the Earn out Share Liability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valued the earn out share liability using a Monte Carlo simulation which includes Level 3 unobservable inputs on the initial valuation date (March 26, 2026) and March 31, 2026. The following table summarizes the significant inputs: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March 26,</w:t>
            </w:r>
          </w:p>
        </w:tc>
        <w:tc>
          <w:tcPr>
            <w:tcW w:w="120" w:type="dxa"/>
            <w:vAlign w:val="bottom"/>
          </w:tcPr>
          <w:p>
            <w:pPr>
              <w:spacing w:after="0"/>
              <w:rPr>
                <w:sz w:val="16"/>
                <w:szCs w:val="16"/>
                <w:color w:val="auto"/>
              </w:rPr>
            </w:pPr>
          </w:p>
        </w:tc>
        <w:tc>
          <w:tcPr>
            <w:tcW w:w="98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6"/>
                <w:szCs w:val="16"/>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23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term (in years)</w:t>
            </w:r>
          </w:p>
        </w:tc>
        <w:tc>
          <w:tcPr>
            <w:tcW w:w="1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revenue disaggregated by revenue source is as follows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 and other services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revenue by geography for the three months ended March 31, 2026 and 2025, based on customer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r>
      <w:tr>
        <w:trPr>
          <w:trHeight w:val="290"/>
        </w:trPr>
        <w:tc>
          <w:tcPr>
            <w:tcW w:w="86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4"/>
                <w:szCs w:val="24"/>
                <w:color w:val="auto"/>
              </w:rPr>
            </w:pPr>
          </w:p>
        </w:tc>
      </w:tr>
      <w:tr>
        <w:trPr>
          <w:trHeight w:val="210"/>
        </w:trPr>
        <w:tc>
          <w:tcPr>
            <w:tcW w:w="86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2,832</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Rest of world includes countries where revenue from a single country is not greater than 10% of the Company’s total consolidated revenue for the three months ended March 31, 2026 and 2025, respectively.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contract assets totaling $1,860 and $1,499 as of March 31, 2026 and December 31, 2025, respectively, which are included within accounts receivable in the consolidated balance sheets.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deferred revenue (or contract liabilities) totaling $597 and $544 as of March 31, 2026 and December 31, 2025, respectively, all of which was current.</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recognized $326 and $155, respectively of revenue, which was included in deferred revenue at the beginning of the respective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approximately $3,139 of revenue is expected to be recognized from remaining performance obligations on existing contracts, of which 99% is expected to be recognized in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percentage of revenue from significant customers which accounted for 10% or more of total revenue for the three months ended March 31, 2026 and 2025:</w:t>
      </w:r>
    </w:p>
    <w:p>
      <w:pPr>
        <w:spacing w:after="0" w:line="158"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2</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6"/>
              </w:rPr>
              <w:t>35%</w:t>
            </w: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3</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19%</w:t>
            </w: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4</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6"/>
              </w:rPr>
              <w:t>11%</w:t>
            </w: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5</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none of the outstanding customers had a receivables balance that exceeded 10% of the total trade and other receivables balance.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Capital</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two classes of common shares - Xanadu Class A Multiple Voting Shares and Xanadu Class B Subordinate Voting Shares. Our authorized share capital consists of an unlimited number of Class A Multiple Voting Shares and an unlimited number of Xanadu Class B Subordinate Voting Shares, each without a par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Holders of Xanadu Class A Multiple Voting Shares are entitled to ten votes per share and holders of Xanadu Class B Subordinate Voting Shares are entitled to one vote per share on all matters upon which shareholders are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Xanadu Class A Multiple Voting Share is convertible at any time, at the option of the holder, into one Xanadu Class B Subordinate Voting Share. Additionally, Xanadu Class A Multiple Voting Shares will automatically convert into Xanadu Class B Subordinate Voting Shares upon any transfer (as defined in the articles of incorporation), subject to certain limited exceptions for permitted holders as outlined in the Company’s articles of incorporation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and Liquidation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Xanadu Class A Multiple Voting Shares and Xanadu Class B Subordinate Voting Shares rank pari passu with respect to the payment of dividends and the distribution of assets in the event of the liquidation, dissolution, or winding up of the Company. No dividend may be declared or paid on the Xanadu Class A Multiple Voting Shares unless a dividend of the same amount and type is simultaneously declared or paid on the Xanadu Class B Subordinate Voting Shares.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number and amount of each class of common shares issued and outstanding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Multiple Voting shares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255,226,928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Subordinate Voting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43,284,436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256,679</w:t>
            </w:r>
          </w:p>
        </w:tc>
      </w:tr>
      <w:tr>
        <w:trPr>
          <w:trHeight w:val="223"/>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Common Shares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298,511,364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680" w:type="dxa"/>
            <w:vAlign w:val="bottom"/>
          </w:tcPr>
          <w:p>
            <w:pPr>
              <w:spacing w:after="0"/>
              <w:rPr>
                <w:sz w:val="24"/>
                <w:szCs w:val="24"/>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82"/>
        </w:trPr>
        <w:tc>
          <w:tcPr>
            <w:tcW w:w="8680" w:type="dxa"/>
            <w:vAlign w:val="bottom"/>
          </w:tcPr>
          <w:p>
            <w:pPr>
              <w:spacing w:after="0"/>
              <w:rPr>
                <w:sz w:val="24"/>
                <w:szCs w:val="24"/>
                <w:color w:val="auto"/>
              </w:rPr>
            </w:pPr>
          </w:p>
        </w:tc>
        <w:tc>
          <w:tcPr>
            <w:tcW w:w="2560" w:type="dxa"/>
            <w:vAlign w:val="bottom"/>
            <w:gridSpan w:val="5"/>
          </w:tcPr>
          <w:p>
            <w:pPr>
              <w:jc w:val="center"/>
              <w:ind w:right="120"/>
              <w:spacing w:after="0" w:line="276" w:lineRule="exact"/>
              <w:rPr>
                <w:sz w:val="20"/>
                <w:szCs w:val="20"/>
                <w:color w:val="auto"/>
              </w:rPr>
            </w:pPr>
            <w:r>
              <w:rPr>
                <w:rFonts w:ascii="Times New Roman" w:cs="Times New Roman" w:eastAsia="Times New Roman" w:hAnsi="Times New Roman"/>
                <w:sz w:val="18"/>
                <w:szCs w:val="18"/>
                <w:b w:val="1"/>
                <w:bCs w:val="1"/>
                <w:color w:val="auto"/>
                <w:w w:val="95"/>
              </w:rPr>
              <w:t xml:space="preserve">As Adjusted </w:t>
            </w:r>
            <w:r>
              <w:rPr>
                <w:rFonts w:ascii="Times New Roman" w:cs="Times New Roman" w:eastAsia="Times New Roman" w:hAnsi="Times New Roman"/>
                <w:sz w:val="29"/>
                <w:szCs w:val="29"/>
                <w:b w:val="1"/>
                <w:bCs w:val="1"/>
                <w:color w:val="auto"/>
                <w:w w:val="95"/>
                <w:vertAlign w:val="superscript"/>
              </w:rPr>
              <w:t>(1)</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 Xanadu Convertible Preferred Shares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199,930,069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Old Xanadu Voting and Non-Voting Common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55,964,876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7,585</w:t>
            </w:r>
          </w:p>
        </w:tc>
      </w:tr>
      <w:tr>
        <w:trPr>
          <w:trHeight w:val="223"/>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Old Xanadu Preferred and Common Shares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255,894,945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have been recast to reflect the Exchange Ratio.</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issued and outstanding common shares and share capital by class for the three months ended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 B Subordinate</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20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Old Xanadu Convertible</w:t>
            </w:r>
          </w:p>
        </w:tc>
        <w:tc>
          <w:tcPr>
            <w:tcW w:w="19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Old Xanadu Common</w:t>
            </w:r>
          </w:p>
        </w:tc>
        <w:tc>
          <w:tcPr>
            <w:tcW w:w="190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Class A Multiple</w:t>
            </w:r>
          </w:p>
        </w:tc>
        <w:tc>
          <w:tcPr>
            <w:tcW w:w="182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Voting Shares and</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680" w:type="dxa"/>
            <w:vAlign w:val="bottom"/>
          </w:tcPr>
          <w:p>
            <w:pPr>
              <w:spacing w:after="0"/>
              <w:rPr>
                <w:sz w:val="21"/>
                <w:szCs w:val="21"/>
                <w:color w:val="auto"/>
              </w:rPr>
            </w:pPr>
          </w:p>
        </w:tc>
        <w:tc>
          <w:tcPr>
            <w:tcW w:w="20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126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Voting Shares</w:t>
            </w:r>
          </w:p>
        </w:tc>
        <w:tc>
          <w:tcPr>
            <w:tcW w:w="18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 Capital</w:t>
            </w:r>
          </w:p>
        </w:tc>
        <w:tc>
          <w:tcPr>
            <w:tcW w:w="18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Total Common Shares</w:t>
            </w:r>
          </w:p>
        </w:tc>
      </w:tr>
      <w:tr>
        <w:trPr>
          <w:trHeight w:val="223"/>
        </w:trPr>
        <w:tc>
          <w:tcPr>
            <w:tcW w:w="168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9"/>
                <w:szCs w:val="19"/>
                <w:color w:val="auto"/>
              </w:rPr>
            </w:pPr>
          </w:p>
        </w:tc>
      </w:tr>
      <w:tr>
        <w:trPr>
          <w:trHeight w:val="184"/>
        </w:trPr>
        <w:tc>
          <w:tcPr>
            <w:tcW w:w="16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20"/>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71"/>
        </w:trPr>
        <w:tc>
          <w:tcPr>
            <w:tcW w:w="16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as adjusted </w:t>
            </w:r>
            <w:r>
              <w:rPr>
                <w:rFonts w:ascii="Times New Roman" w:cs="Times New Roman" w:eastAsia="Times New Roman" w:hAnsi="Times New Roman"/>
                <w:sz w:val="29"/>
                <w:szCs w:val="29"/>
                <w:color w:val="auto"/>
                <w:vertAlign w:val="superscript"/>
              </w:rPr>
              <w:t>(1)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199,930,069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213,002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55,964,876</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255,894,945</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$ 220,587</w:t>
            </w: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upon</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1,789,955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1,789,955</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1,181</w:t>
            </w: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upon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of Old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Xanadu’s preferred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common stock</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(199,930,069)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(213,002)</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(55,964,876)</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(7,585)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254,709,401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220,098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1,185,544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PIPE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transaction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40,308,937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265,006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40,308,937</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265,006</w:t>
            </w: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Earn-out share</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at Closing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Reverse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(9,997)</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517,527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517,527</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1,397</w:t>
            </w:r>
          </w:p>
        </w:tc>
      </w:tr>
      <w:tr>
        <w:trPr>
          <w:trHeight w:val="184"/>
        </w:trPr>
        <w:tc>
          <w:tcPr>
            <w:tcW w:w="16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 March</w:t>
            </w: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55"/>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31, 2026</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255,226,928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221,495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43,284,436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256,679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298,511,364</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$ 478,174</w:t>
            </w: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Refer to note in the table above for information related to the prior period recast.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an unlimited amount of authorized Xanadu Preferred Shares, with no par value. As of March 31, 2026 and December 31, 2025 there were no Xanadu Preferred Shares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Shares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Closing on March 26, 2026, the SFTrust Warrants were exchanged for warrants to purchase Xanadu Class A Multiple Voting Shares and the RBC Warrants were exchanged for warrants to purchase Xanadu Class B Subordinate Voting Shares.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SFTrust Warrants were exchanged for 519,974 warrants to purchase Xanadu Class A Multiple Voting Shares and the RBC Warrants were exchanged for 157,960 warrants to purchase Xanadu Class B Subordinate Voting Shares, resulting in a total of 677,934 warrants exchanged in the transaction.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Xanadu Long Term Incentive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Closing of the Reverse Recapitalization, each outstanding option to purchase Old Xanadu Voting Common Shares, under the Company’s 2017 Equity Incentive Plan (the “2017 Plan”) and the 2018 Equity Incentive Plan (the “2018 Plan”), was exchanged for a Xanadu Class A Multiple Voting Share Option, and each option to purchase Old Xanadu Non-Voting Common Shares was exchanged for a Xanadu Class B Subordinate Voting Share Option.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number of Xanadu shares subject to each assumed option was determined by multiplying the number of Old Xanadu common shares subject to the original option by the Exchange Ratio (rounded down to the nearest whole share). The per-share exercise price was determined by dividing the prior exercise price by the Exchange Ratio and rounded pursuant to the Plan of Arrangement. All other terms and conditions, including vesting schedules and expiration terms, remain unchanged. As of the Closing, the strike price was converted from Canadian dollars to U.S. dollars to align with the trading of the Xanadu Class B Subordinate Voting Shares on the Nasdaq market.</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of Old Xanadu authorized the grant of restricted shares and stock options for up to 1,393,773 non-voting common shares under the Company’s 2017 Plan and 5,749,323 non-voting common shares under the 2018 Plan. After giving effect to the Exchange Ratio, these authorizations represent 15,726,911 and 64,873,614 adjusted shares,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options granted to date under the 2017 Plan and 2018 Plan have a service condition with the following vesting terms: (a) 25% of the options granted vest on a date that is one year after the date the service period begins and (b) the remaining unvested options vest in equal monthly installments for an additional 36 months.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Options generally expire 10 years from the original grant date or 90 days from an employee’s termination date. However, the Company has granted expiration extensions to certain terminated employees to June 30, 2026 and in one instance, to November 27, 2026.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Closing of the Reverse Recapitalization in the first quarter of 2026, no new equity awards will be granted under the 2017 Plan and the 2018 Plan. In connection with the Reverse Recapitalization, new grants will be issued under the Omnibus Long Term Incentive Plan described below.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all options have been granted under the 2017 Plan and 17,635,998 options remain outstanding under the 2018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Long Term Incentive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adopted the Xanadu Omnibus Long Term Incentive Plan (the “Omnibus Plan”) in connection with the Closing of the Reverse Recapitalization. The Omnibus Plan reserves an amount of Xanadu shares for grant equal to 15% of the Xanadu shares issued and outstanding from time to time. The Company’s equity awards corresponding to Old Xanadu equity awards do not reduce the number of shares available for issuance under the Omnibus Plan. The Omnibus Plan permits the grant of several award types, including:</w:t>
      </w:r>
    </w:p>
    <w:p>
      <w:pPr>
        <w:spacing w:after="0" w:line="180" w:lineRule="exact"/>
        <w:rPr>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(Incentive Stock Options and Non-Qualified Stock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Appreciation Rights (SARs),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(RSUs) and Performance Share Units (PSUs)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Share Units (DSUs).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awards have been granted as of March 31, 2026 under the Omnibus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p>
      <w:pPr>
        <w:ind w:firstLine="324"/>
        <w:spacing w:after="0" w:line="292"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stock options activity (as adjusted for the Exchange Ratio) during the three months ended March 31, 2026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 xml:space="preserve">Balance as of December 31, 2025 </w:t>
            </w:r>
            <w:r>
              <w:rPr>
                <w:rFonts w:ascii="Times New Roman" w:cs="Times New Roman" w:eastAsia="Times New Roman" w:hAnsi="Times New Roman"/>
                <w:sz w:val="28"/>
                <w:szCs w:val="28"/>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49,486,556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290,074</w:t>
            </w:r>
          </w:p>
        </w:tc>
        <w:tc>
          <w:tcPr>
            <w:tcW w:w="0" w:type="dxa"/>
            <w:vAlign w:val="bottom"/>
          </w:tcPr>
          <w:p>
            <w:pPr>
              <w:spacing w:after="0"/>
              <w:rPr>
                <w:sz w:val="1"/>
                <w:szCs w:val="1"/>
                <w:color w:val="auto"/>
              </w:rPr>
            </w:pPr>
          </w:p>
        </w:tc>
      </w:tr>
      <w:tr>
        <w:trPr>
          <w:trHeight w:val="257"/>
        </w:trPr>
        <w:tc>
          <w:tcPr>
            <w:tcW w:w="59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1,920,273</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Expired and forfeited </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328,667</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20"/>
              <w:spacing w:after="0" w:line="284" w:lineRule="exact"/>
              <w:rPr>
                <w:sz w:val="20"/>
                <w:szCs w:val="20"/>
                <w:color w:val="auto"/>
              </w:rPr>
            </w:pPr>
            <w:r>
              <w:rPr>
                <w:rFonts w:ascii="Times New Roman" w:cs="Times New Roman" w:eastAsia="Times New Roman" w:hAnsi="Times New Roman"/>
                <w:sz w:val="18"/>
                <w:szCs w:val="18"/>
                <w:color w:val="auto"/>
              </w:rPr>
              <w:t xml:space="preserve">Balance as of March 31, 2026 </w:t>
            </w:r>
            <w:r>
              <w:rPr>
                <w:rFonts w:ascii="Times New Roman" w:cs="Times New Roman" w:eastAsia="Times New Roman" w:hAnsi="Times New Roman"/>
                <w:sz w:val="29"/>
                <w:szCs w:val="29"/>
                <w:color w:val="auto"/>
                <w:vertAlign w:val="superscript"/>
              </w:rPr>
              <w:t>(2)</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5980" w:type="dxa"/>
            <w:vAlign w:val="bottom"/>
            <w:vMerge w:val="continue"/>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47,237,616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304,683</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as of March 31, 2026</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31,038,814</w:t>
            </w:r>
          </w:p>
        </w:tc>
        <w:tc>
          <w:tcPr>
            <w:tcW w:w="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7.57</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234,840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16,198,802</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4.64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Recast to reflect the Exchange Ratio established in the Reverse Recapitalization.</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1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have been recast to reflect the Exchange Ratio established in the Reverse Recapitalization.</w:t>
      </w:r>
    </w:p>
    <w:p>
      <w:pPr>
        <w:spacing w:after="0" w:line="1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there were 3,261,109 options to purchase Xanadu Class A Multiple Voting Shares and 43,976,507 options to purchase Xanadu Class B Subordinate Voting shares issued and outstanding. There were no options granted during the three months ended March 31, 2026 and 2025.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and 2025, the total intrinsic value of stock options exercised was C$16,869 and C$151, respectively.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classified in the consolidated statements of operations and comprehensive loss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37"/>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capitalized to intangible assets for the three months ended March 31, 2026 and 2025 was $31 and $53, respectively.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stock-based compensation cost related to unvested stock options was $14,203. This amount will be recognized over a weighted-average period of approximately 1.55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operating leases for its office space tenancies. As of March 31, 2026 and December 31, 2025, the future minimum lease payments under non-cancellable operating leases over the remaining lease term and the present value of the lease obligations are approximately $8,612 and $7,860, respectively.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various legal proceedings in the ordinary course of business. Management believes that there are currently no claims or actions pending against the Company, the ultimate disposition of which could have a material adverse effect on the Company’s results of operations, financial condition, or cash flows, including third party infringement claims, labor and employment claims and threatened claims, tax and other matters.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Pursuant to these arrangements, the Company indemnifies, holds harmless and agrees to reimburse the indemnified parties for certain losses suffered or incurred by the indemnified party. It is not possible to reasonably estimate the overall maximum amount of these indemnification obligations. Historically, the Company has not been required to make payments under these obligations and, therefore, no liabilities have been recorded for these obligations in the Company’s consolidated balance sheets.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and December 31, 2025, the Company was not subject to any material litigation or material pending litigation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attributable to common shareholders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per share attributable to common shareholders, basic and diluted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190"/>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29"/>
                <w:szCs w:val="29"/>
                <w:b w:val="1"/>
                <w:bCs w:val="1"/>
                <w:color w:val="auto"/>
                <w:vertAlign w:val="superscript"/>
              </w:rPr>
              <w:t>(1)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32"/>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(12,205)</w:t>
            </w:r>
          </w:p>
        </w:tc>
      </w:tr>
      <w:tr>
        <w:trPr>
          <w:trHeight w:val="453"/>
        </w:trPr>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72,458,652</w:t>
            </w: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55,649,457</w:t>
            </w:r>
          </w:p>
        </w:tc>
        <w:tc>
          <w:tcPr>
            <w:tcW w:w="40" w:type="dxa"/>
            <w:vAlign w:val="bottom"/>
          </w:tcPr>
          <w:p>
            <w:pPr>
              <w:spacing w:after="0"/>
              <w:rPr>
                <w:sz w:val="24"/>
                <w:szCs w:val="24"/>
                <w:color w:val="auto"/>
              </w:rPr>
            </w:pPr>
          </w:p>
        </w:tc>
      </w:tr>
      <w:tr>
        <w:trPr>
          <w:trHeight w:val="223"/>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765" w:right="339" w:bottom="1440" w:gutter="0" w:footer="0" w:header="0"/>
          <w:type w:val="continuous"/>
        </w:sectPr>
      </w:pPr>
    </w:p>
    <w:p>
      <w:pPr>
        <w:ind w:left="340" w:hanging="332"/>
        <w:spacing w:after="0" w:line="195" w:lineRule="auto"/>
        <w:tabs>
          <w:tab w:leader="none" w:pos="340" w:val="left"/>
        </w:tabs>
        <w:numPr>
          <w:ilvl w:val="0"/>
          <w:numId w:val="1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loss per share has been recast to reflect the exchange of the Company’s convertible preferred shares and common shares and the equivalent number of shares reflecting the Exchange Ratio established in the Reverse Recapitalization. Refer to Note 3 for additional information.</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classes of common shares, Xanadu Class A Multiple Voting Shares and Xanadu Class B Subordinate Voting Shares. These shares rank pari passu with respect to participation rights to dividends, liquidation preferences, and therefore, the calculation of net loss per share as described above is identical to the calculation under the two-class method.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Since the Company was in a loss position for all periods presented, basic net loss per share is the same as diluted net loss per share for all periods as the inclusion of all potential common shares outstanding would have been anti-dilutive.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Potentially dilutive securities (upon conversion) that were not included in the diluted per share calculations because they would be anti-dilutive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63"/>
        </w:trPr>
        <w:tc>
          <w:tcPr>
            <w:tcW w:w="868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9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29"/>
                <w:szCs w:val="29"/>
                <w:b w:val="1"/>
                <w:bCs w:val="1"/>
                <w:color w:val="auto"/>
                <w:vertAlign w:val="superscript"/>
              </w:rPr>
              <w:t>(1)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as exercisable to common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47,237,616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42,855,647</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as convertible to common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199,930,069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47,395,576</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243,463,650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have been recast to reflect the Exchange Ratio established in the Reverse Recapitalization. Refer to Note 3 for 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(“CODM”) in deciding how to allocate resources and in assessing performance.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CODM is its Chief Executive Officer. The CODM has determined that the Company operates in a single operating and reportable segment and manages segment performance and resource allocation based upon consolidated net loss. The measure of segment assets is reported on the consolidated balance sheets as total consolidated assets. Significant expenses reviewed by the CODM include those that are presented in the consolidated statement of operations and comprehensive loss. The CODM evaluates actual results compared to forecasted results for consolidated net loss, including significant expenses, when making decisions about allocating resources.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long-lived assets are located in Canada. Refer to Note 12 for additional information about the Company’s revenue by geography.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segment information of revenue, significant expenses and net loss: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excluding salaries and share-based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below)</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8,372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7,989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1,208</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share-based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11,004</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r>
      <w:tr>
        <w:trPr>
          <w:trHeight w:val="290"/>
        </w:trPr>
        <w:tc>
          <w:tcPr>
            <w:tcW w:w="86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(6,992)</w:t>
            </w:r>
          </w:p>
        </w:tc>
        <w:tc>
          <w:tcPr>
            <w:tcW w:w="3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(20,604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items include other operating income, net, gain on fair value of earn-out liabilities and other (income) expense, net which are reflected in the consolidated statements of operations and comprehensive loss.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all events occurring through May 14, 2026, the date on which the Interim Financial Statements were issued, and during which time, nothing has occurred outside the normal course of business operations that would require disclosure except the following: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described in Note 3 - Reverse Recapitalization, in connection with the Closing of the Reverse Recapitalization, SPAC Sponsor entered into an agreement pursuant to which 1,100,000 Earn-out Shares were made subject to post-closing vesting and forfeiture conditions tied to the achievement of certain stock price thresholds (the “Earn-Out Triggers”) during the four-year period from the closing date as described in Note 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May 2026, the Earn-Out Triggers were satisfied, as the closing share price of the Company’s Class B Subordinate Voting Shares equaled or exceeded the required minimum share prices for 20 trading days within a 30 consecutive trading day period during the Vesting Term. Accordingly, all 1,100,000 lock up securities have vested and are no longer subject to forfeiture.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Upon the achievement of each Earn-Out Trigger, the Company will reflect the settlement of the earn-out share liability by re-measuring the earn-out share liability at fair value at the point of time the Earn Out Trigger is met and then reclassifying the fair value of the liability to share capital.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Xanadu Quantum Technologies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Xanadu Quantum Technologies Inc. and subsidiaries (the Company) as of December 31, 2025 and 2024, the related consolidated statements of operations and comprehensive loss,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Toronto, Canada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9, 2026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77,619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Materials and supplies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8,291</w:t>
            </w: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7,490</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3,532</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grant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7,877</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29,998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16,009</w:t>
            </w:r>
          </w:p>
        </w:tc>
      </w:tr>
      <w:tr>
        <w:trPr>
          <w:trHeight w:val="25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46,160</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29,270</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no par value, 29,788,450 shares authorized, 4,959,800 and 4,924,563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2025 and 2024,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7,399</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preferred shares, no par value, 18,104,551 shares authorized, 17,718,491 issued and outstanding at both</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213,002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213,002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(206,303)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(135,636)</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(3,207)</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24,444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87,495</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events (note 22)</w:t>
            </w:r>
          </w:p>
        </w:tc>
        <w:tc>
          <w:tcPr>
            <w:tcW w:w="5840" w:type="dxa"/>
            <w:vAlign w:val="bottom"/>
          </w:tcPr>
          <w:p>
            <w:pPr>
              <w:spacing w:after="0"/>
              <w:rPr>
                <w:sz w:val="20"/>
                <w:szCs w:val="20"/>
                <w:color w:val="auto"/>
              </w:rPr>
            </w:pP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On behalf of the Board of Directors</w:t>
            </w:r>
          </w:p>
        </w:tc>
        <w:tc>
          <w:tcPr>
            <w:tcW w:w="5840" w:type="dxa"/>
            <w:vAlign w:val="bottom"/>
          </w:tcPr>
          <w:p>
            <w:pPr>
              <w:spacing w:after="0"/>
              <w:rPr>
                <w:sz w:val="24"/>
                <w:szCs w:val="24"/>
                <w:color w:val="auto"/>
              </w:rPr>
            </w:pPr>
          </w:p>
        </w:tc>
      </w:tr>
      <w:tr>
        <w:trPr>
          <w:trHeight w:val="452"/>
        </w:trPr>
        <w:tc>
          <w:tcPr>
            <w:tcW w:w="5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 Christian Weedbrook</w:t>
            </w: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Trzupek</w:t>
            </w:r>
          </w:p>
        </w:tc>
      </w:tr>
      <w:tr>
        <w:trPr>
          <w:trHeight w:val="234"/>
        </w:trPr>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Christian Weedbrook, CEO and Director</w:t>
            </w:r>
          </w:p>
        </w:tc>
        <w:tc>
          <w:tcPr>
            <w:tcW w:w="320" w:type="dxa"/>
            <w:vAlign w:val="bottom"/>
          </w:tcPr>
          <w:p>
            <w:pPr>
              <w:spacing w:after="0"/>
              <w:rPr>
                <w:sz w:val="20"/>
                <w:szCs w:val="20"/>
                <w:color w:val="auto"/>
              </w:rPr>
            </w:pPr>
          </w:p>
        </w:tc>
        <w:tc>
          <w:tcPr>
            <w:tcW w:w="5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Michael Trzupek, CFO and Director</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below)</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55,237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39,223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15,415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6,863</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5,849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4,869</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(4,113)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(2,518)</w:t>
            </w:r>
          </w:p>
        </w:tc>
      </w:tr>
      <w:tr>
        <w:trPr>
          <w:trHeight w:val="210"/>
        </w:trPr>
        <w:tc>
          <w:tcPr>
            <w:tcW w:w="73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73,939</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52,185</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4,670</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(2,554)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r>
      <w:tr>
        <w:trPr>
          <w:trHeight w:val="210"/>
        </w:trPr>
        <w:tc>
          <w:tcPr>
            <w:tcW w:w="732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(1,345</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4,628</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w:t>
            </w:r>
          </w:p>
        </w:tc>
        <w:tc>
          <w:tcPr>
            <w:tcW w:w="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net loss per share, basic and 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4,944,814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4,917,324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4,892,803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(70,667)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(45,968)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(35,592)</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3,216</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(1,425)</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comprehensive loss</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(67,451</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(47,393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(35,135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940" w:type="dxa"/>
            <w:vAlign w:val="bottom"/>
            <w:gridSpan w:val="6"/>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1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80" w:type="dxa"/>
            <w:vAlign w:val="bottom"/>
          </w:tcPr>
          <w:p>
            <w:pPr>
              <w:spacing w:after="0"/>
              <w:rPr>
                <w:sz w:val="20"/>
                <w:szCs w:val="20"/>
                <w:color w:val="auto"/>
              </w:rPr>
            </w:pPr>
          </w:p>
        </w:tc>
        <w:tc>
          <w:tcPr>
            <w:tcW w:w="1940" w:type="dxa"/>
            <w:vAlign w:val="bottom"/>
            <w:gridSpan w:val="6"/>
            <w:vMerge w:val="continue"/>
          </w:tcPr>
          <w:p>
            <w:pPr>
              <w:spacing w:after="0"/>
              <w:rPr>
                <w:sz w:val="20"/>
                <w:szCs w:val="20"/>
                <w:color w:val="auto"/>
              </w:rPr>
            </w:pPr>
          </w:p>
        </w:tc>
        <w:tc>
          <w:tcPr>
            <w:tcW w:w="2100" w:type="dxa"/>
            <w:vAlign w:val="bottom"/>
            <w:gridSpan w:val="4"/>
            <w:vMerge w:val="continue"/>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80" w:type="dxa"/>
            <w:vAlign w:val="bottom"/>
          </w:tcPr>
          <w:p>
            <w:pPr>
              <w:spacing w:after="0"/>
              <w:rPr>
                <w:sz w:val="20"/>
                <w:szCs w:val="20"/>
                <w:color w:val="auto"/>
              </w:rPr>
            </w:pPr>
          </w:p>
        </w:tc>
        <w:tc>
          <w:tcPr>
            <w:tcW w:w="92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4,872,083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17,718,491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$ 213,002</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$ 220,130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(35,592)</w:t>
            </w: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translation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net of tax</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9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December 31,</w:t>
            </w: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4,912,460</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7,287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17,718,491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$ 213,002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$ 220,289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(89,668)</w:t>
            </w:r>
          </w:p>
        </w:tc>
        <w:tc>
          <w:tcPr>
            <w:tcW w:w="3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131,899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translation</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net of tax</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184"/>
        </w:trPr>
        <w:tc>
          <w:tcPr>
            <w:tcW w:w="19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December 31,</w:t>
            </w: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4,924,563</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7,399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17,718,491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$ 213,002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$ 220,401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(135,636)</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87,495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(70,667)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(70,667)</w:t>
            </w: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translation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net of tax</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9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December 31,</w:t>
            </w: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4,959,800</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7,585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17,718,491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$ 213,002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$ 220,587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(206,303)</w:t>
            </w:r>
          </w:p>
        </w:tc>
        <w:tc>
          <w:tcPr>
            <w:tcW w:w="3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(70,667)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(45,968)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(35,592)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right of use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accretion on long-term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Materials and supplies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(4,885)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(3,188)</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(4,192)</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grant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r>
      <w:tr>
        <w:trPr>
          <w:trHeight w:val="24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Receipt of lease allowances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(68,045)</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(41,737)</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(29,549)</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(2,509)</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12,112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9,213</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6,706</w:t>
            </w:r>
          </w:p>
        </w:tc>
        <w:tc>
          <w:tcPr>
            <w:tcW w:w="8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12,236</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9,295</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(4,767)</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(8,899)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(1,908)</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(1,519)</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(8,863)</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(6,675)</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(9,969)</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foreign exchange rates on cash and cash equivalents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(61,455)</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(39,840)</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(34,538)</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77,619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117,459</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151,997</w:t>
            </w:r>
          </w:p>
        </w:tc>
        <w:tc>
          <w:tcPr>
            <w:tcW w:w="80" w:type="dxa"/>
            <w:vAlign w:val="bottom"/>
            <w:shd w:val="clear" w:color="auto" w:fill="CCEEFF"/>
          </w:tcPr>
          <w:p>
            <w:pPr>
              <w:spacing w:after="0"/>
              <w:rPr>
                <w:sz w:val="21"/>
                <w:szCs w:val="21"/>
                <w:color w:val="auto"/>
              </w:rPr>
            </w:pPr>
          </w:p>
        </w:tc>
      </w:tr>
      <w:tr>
        <w:trPr>
          <w:trHeight w:val="25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end of year</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16,164</w:t>
            </w:r>
          </w:p>
        </w:tc>
        <w:tc>
          <w:tcPr>
            <w:tcW w:w="24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77,619</w:t>
            </w:r>
          </w:p>
        </w:tc>
        <w:tc>
          <w:tcPr>
            <w:tcW w:w="22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117,459</w:t>
            </w:r>
          </w:p>
        </w:tc>
        <w:tc>
          <w:tcPr>
            <w:tcW w:w="100" w:type="dxa"/>
            <w:vAlign w:val="bottom"/>
            <w:tcBorders>
              <w:top w:val="single" w:sz="8" w:color="CCEEFF"/>
              <w:bottom w:val="single" w:sz="8" w:color="CCEEFF"/>
            </w:tcBorders>
            <w:gridSpan w:val="2"/>
          </w:tcPr>
          <w:p>
            <w:pPr>
              <w:spacing w:after="0"/>
              <w:rPr>
                <w:sz w:val="21"/>
                <w:szCs w:val="2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subject to lease liability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Xanadu Quantum Technologies Inc., together with its wholly owned subsidiaries (“Old Xanadu”) specializes in designing photonic devices and the platforms around them, including the experimentation and development of quantum computers available on the cloud with supporting software, along with quantum simulators and other related products and offerings.</w:t>
      </w:r>
    </w:p>
    <w:p>
      <w:pPr>
        <w:spacing w:after="0" w:line="173" w:lineRule="exact"/>
        <w:rPr>
          <w:rFonts w:ascii="Times New Roman" w:cs="Times New Roman" w:eastAsia="Times New Roman" w:hAnsi="Times New Roman"/>
          <w:sz w:val="18"/>
          <w:szCs w:val="18"/>
          <w:b w:val="1"/>
          <w:bCs w:val="1"/>
          <w:color w:val="auto"/>
        </w:rPr>
      </w:pPr>
    </w:p>
    <w:p>
      <w:pPr>
        <w:jc w:val="both"/>
        <w:ind w:left="3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Xanadu Quantum Technologies Inc.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December 7, 2016, and subsequently continued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on October 29, 2025. The corporate office address is located at 777 Bay Street, Suite 2400, Toronto, Ontario.</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of the Old Xanadu are presented in U.S. dollars (“USD”) and prepared on a going concern basis in accordance with accounting principles generally accepted in the United States (“U.S. GAAP”) and pursuant to the accounting and disclosure rules and regulations of the Securities and Exchange Commission (“SEC”).</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consolidation:</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Old Xanadu include the accounts of the Old Xanadu and all of its wholly-owned subsidiaries. All intercompany transactions and balances have been eliminated.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management:</w:t>
      </w:r>
    </w:p>
    <w:p>
      <w:pPr>
        <w:spacing w:after="0" w:line="22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have been prepared on a basis that assumes Old Xanadu will continue as a going concern, which contemplates the realization of assets and the settlement of liabilities in the normal course of business. Old Xanadu has incurred recurring net losses and negative cash flows from operations since inception. As of December 31, 2025, and 2024, Old Xanadu had an accumulated deficit of $(206,303) and $(135,636), respectively. For the years ended December 31, 2025, 2024, and 2023 Old Xanadu incurred net losses of $(70,667), $(45,968), and $(35,592) respectively, and Old Xanadu had net cash outflows from operating activities of $(68,045), $(41,737), and $(29,549) respectively. As of December 31, 2025 and 2024, Old Xanadu had cash and cash equivalents of $16,164 and $77,619 and net working capital of $31,237 and $84,983, respectively.</w:t>
      </w:r>
    </w:p>
    <w:p>
      <w:pPr>
        <w:spacing w:after="0" w:line="188"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26, 2026, Old Xanadu successfully consummated its business combination with Crane Harbor Acquisition Corp. (“SPAC”) and Xanadu Quantum Technologies Limited (“Xanadu”) (the “Business Combination”) and a concurrent PIPE investment (the “PIPE Financing”). These transactions resulted in gross proceeds of approximately $302 million (note 22).</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Old Xanadu’s current operating plan, management believes that the existing cash and cash equivalents, combined with the proceeds from the Business Combination and PIPE Financing, will be sufficient to fund operations, research and development activities, and capital expenditure requirements for at least twelve months from the date these consolidated financial statements are issued.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judgments, and assumptions that affect the amounts reported in the consolidated financial statements and accompanying notes. The most significant estimates and assumptions are used in determining: (i) the fair value of underlying shares used in the valuation of equity-settled stock-based payments; (ii) long term revenue forecasts used in accounting for the SIF Loan (note 9), and (iii) the estimated percentage completion in fixed fee professional services revenue arrangements. These estimates, judgments, and assumptions are evaluated on an ongoing basis. Estimates are based on historical experience and other various assumptions management believes are reasonable under the circumstances, the results of which form the basis for making judgments about the carrying values of assets and liabilities that are not readily apparent from other sources. Actual results and outcomes could differ materially from management’s estimates, judgments, and assumptions.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Old Xanadu’s accounting estimates and assumptions may change over time in response to risks and uncertainties. As of the date of issuance of these consolidated financial statements, Old Xanadu is not aware of any specific event or circumstance that would require Old Xanadu to update estimates, judgments or revise the carrying value of any assets or liabilities.</w:t>
      </w:r>
    </w:p>
    <w:p>
      <w:pPr>
        <w:spacing w:after="0" w:line="176"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considers all short term highly liquid investments purchased with original maturities at their acquisition date of three months or less to be cash equivalents. Old Xanadu maintains its cash and investments with high quality financial institutions, which, at times, may exceed federally insured limits. Old Xanadu did not hold any cash equivalents as of December 31, 2025 and 2024.</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are non-interest bearing and represent amounts billed and currently due from customers at the gross invoiced amount as well as unbilled amounts related to unconditional rights for consideration to be received for services performed but not yet invoiced. A receivable is recorded when Old Xanadu has an unconditional right to receive payment. Old Xanadu’s accounts receivable includes trade, interest and other types of receivables.</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periodic basis, management evaluates its accounts receivable and determines whether to provide an allowance for credit losses. This assessment is based on management’s evaluation of the aging of accounts, historical collection experience and current economic expectations. As of December 31, 2025 and 2024, Old Xanadu has not recorded any allowance for doubtful accounts.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 net:</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 are carried at average cost and recorded in material and supplies in the consolidated balance sheets. Materials and supplies used in research and development efforts are expensed when consumed if an alternative use exists, otherwise are expensed when incurred. Old Xanadu expensed $8,277, $1,935, and $nil of materials and supplies consumed for the years ended December 31, 2025, 2024, and 2023 respectively.</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 are evaluated for excess quantities and obsolescence. This evaluation includes an analysis of Old Xanadu’s current and future strategic plans, risk of technological obsolescence, and general market conditions. During the years ended December 31, 2025, 2024, and 2023 excess and obsolescence charges were $1,950, $nil, and $nil respectively.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net:</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acquisition cost, less accumulated depreciation and impairment. Depreciation on property and equipment is computed on a straight-line basis over the estimated useful lives of the assets at the time of acquisition. Leasehold improvements are amortized over the lesser of the term of the lease or the useful life of the asset.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16"/>
        </w:trPr>
        <w:tc>
          <w:tcPr>
            <w:tcW w:w="848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2760" w:type="dxa"/>
            <w:vAlign w:val="bottom"/>
          </w:tcPr>
          <w:p>
            <w:pPr>
              <w:spacing w:after="0"/>
              <w:rPr>
                <w:sz w:val="18"/>
                <w:szCs w:val="18"/>
                <w:color w:val="auto"/>
              </w:rPr>
            </w:pPr>
          </w:p>
        </w:tc>
      </w:tr>
      <w:tr>
        <w:trPr>
          <w:trHeight w:val="216"/>
        </w:trPr>
        <w:tc>
          <w:tcPr>
            <w:tcW w:w="84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Statements</w:t>
            </w:r>
          </w:p>
        </w:tc>
        <w:tc>
          <w:tcPr>
            <w:tcW w:w="2760" w:type="dxa"/>
            <w:vAlign w:val="bottom"/>
          </w:tcPr>
          <w:p>
            <w:pPr>
              <w:spacing w:after="0"/>
              <w:rPr>
                <w:sz w:val="18"/>
                <w:szCs w:val="18"/>
                <w:color w:val="auto"/>
              </w:rPr>
            </w:pPr>
          </w:p>
        </w:tc>
      </w:tr>
      <w:tr>
        <w:trPr>
          <w:trHeight w:val="238"/>
        </w:trPr>
        <w:tc>
          <w:tcPr>
            <w:tcW w:w="848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 share amounts)</w:t>
            </w:r>
          </w:p>
        </w:tc>
        <w:tc>
          <w:tcPr>
            <w:tcW w:w="2760" w:type="dxa"/>
            <w:vAlign w:val="bottom"/>
          </w:tcPr>
          <w:p>
            <w:pPr>
              <w:spacing w:after="0"/>
              <w:rPr>
                <w:sz w:val="20"/>
                <w:szCs w:val="20"/>
                <w:color w:val="auto"/>
              </w:rPr>
            </w:pPr>
          </w:p>
        </w:tc>
      </w:tr>
      <w:tr>
        <w:trPr>
          <w:trHeight w:val="432"/>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  Basis of presentation and summary of significant accounting policies: </w:t>
            </w:r>
            <w:r>
              <w:rPr>
                <w:rFonts w:ascii="Times New Roman" w:cs="Times New Roman" w:eastAsia="Times New Roman" w:hAnsi="Times New Roman"/>
                <w:sz w:val="18"/>
                <w:szCs w:val="18"/>
                <w:color w:val="auto"/>
              </w:rPr>
              <w:t>(cont.)</w:t>
            </w:r>
          </w:p>
        </w:tc>
        <w:tc>
          <w:tcPr>
            <w:tcW w:w="2760" w:type="dxa"/>
            <w:vAlign w:val="bottom"/>
          </w:tcPr>
          <w:p>
            <w:pPr>
              <w:spacing w:after="0"/>
              <w:rPr>
                <w:sz w:val="24"/>
                <w:szCs w:val="24"/>
                <w:color w:val="auto"/>
              </w:rPr>
            </w:pPr>
          </w:p>
        </w:tc>
      </w:tr>
      <w:tr>
        <w:trPr>
          <w:trHeight w:val="432"/>
        </w:trPr>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estimated useful lives of Old Xanadu’s property and equipment are as follows:</w:t>
            </w:r>
          </w:p>
        </w:tc>
        <w:tc>
          <w:tcPr>
            <w:tcW w:w="2760" w:type="dxa"/>
            <w:vAlign w:val="bottom"/>
          </w:tcPr>
          <w:p>
            <w:pPr>
              <w:spacing w:after="0"/>
              <w:rPr>
                <w:sz w:val="24"/>
                <w:szCs w:val="24"/>
                <w:color w:val="auto"/>
              </w:rPr>
            </w:pPr>
          </w:p>
        </w:tc>
      </w:tr>
      <w:tr>
        <w:trPr>
          <w:trHeight w:val="216"/>
        </w:trPr>
        <w:tc>
          <w:tcPr>
            <w:tcW w:w="84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systems and servers</w:t>
            </w:r>
          </w:p>
        </w:tc>
        <w:tc>
          <w:tcPr>
            <w:tcW w:w="27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7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 and computer equipment</w:t>
            </w:r>
          </w:p>
        </w:tc>
        <w:tc>
          <w:tcPr>
            <w:tcW w:w="27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7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 years</w:t>
            </w: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760" w:type="dxa"/>
            <w:vAlign w:val="bottom"/>
            <w:shd w:val="clear" w:color="auto" w:fill="CCEEFF"/>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Shorter of lease term or</w:t>
            </w:r>
          </w:p>
        </w:tc>
      </w:tr>
      <w:tr>
        <w:trPr>
          <w:trHeight w:val="234"/>
        </w:trPr>
        <w:tc>
          <w:tcPr>
            <w:tcW w:w="8480" w:type="dxa"/>
            <w:vAlign w:val="bottom"/>
            <w:shd w:val="clear" w:color="auto" w:fill="CCEEFF"/>
          </w:tcPr>
          <w:p>
            <w:pPr>
              <w:spacing w:after="0"/>
              <w:rPr>
                <w:sz w:val="20"/>
                <w:szCs w:val="20"/>
                <w:color w:val="auto"/>
              </w:rPr>
            </w:pPr>
          </w:p>
        </w:tc>
        <w:tc>
          <w:tcPr>
            <w:tcW w:w="27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estimated useful life</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Repairs and maintenance costs are expensed as incurred. Upon disposition of property and equipment, the cost and related accumulated depreciation are derecognized and any resulting gain or loss is reflected in other income (expense), net within the consolidated statements of operations and comprehensive loss.</w:t>
      </w:r>
    </w:p>
    <w:p>
      <w:pPr>
        <w:spacing w:after="0" w:line="176"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net:</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Xanadu’s intangible assets include patents and external software licenses, which are carried at cost less accumulated amortization and impairment. Intangible assets with finite useful lives are amortized over their estimated useful lives on a straight-line basis.</w:t>
      </w:r>
    </w:p>
    <w:p>
      <w:pPr>
        <w:spacing w:after="0" w:line="16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capitalizes costs associated with internal use software incurred during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when the project is substantially complete and ready for its intended purpose. Costs incurred during the preliminary project and post-implementation stages are charged to expense.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492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49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perpetual software licenses</w:t>
            </w:r>
          </w:p>
        </w:tc>
        <w:tc>
          <w:tcPr>
            <w:tcW w:w="492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22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including property and equipment and finite-lived intangible assets, are reviewed for impairment whenever events or changes in circumstances indicate that the carrying amounts of such assets may not be recoverable. The determination of whether any impairment exists includes a comparison of estimated undiscounted future cash flows anticipated to be generated over the remaining life of the asset or asset group to its net carrying value. If the estimated undiscounted future cash flows associated with the asset or asset group are less than the carrying value, an impairment loss is recognized to the extent the carrying amount of the asset or asset group exceeds its fair value. Old Xanadu did not recognize any impairment losses on long-lived assets during the years ended December 31, 2025, 2024, and 2023.</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and transactions:</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Xanadu’s reporting currency is the U.S. dollar and its functional currency is the Canadian dollar. The functional currency of Old Xanadu’s international subsidiaries is the currency of their primary economic environment. The results and financial position of the parent entity and foreign subsidiaries whose functional currency is not the U.S. dollar are translated at exchange rates in effect as of the consolidated balance sheet dates for assets and liabilities and at average exchange rates for revenues and expenses for the respective periods. Translation adjustments are included as a cumulative translation adjustment in accumulated other comprehensive income (loss).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Monetary assets and liabilities that are denominated in a currency other than Old Xanadu’s functional currency are translated into the functional currency using the exchange rates in effect as of the consolidated balance sheet dates, and revenues and expenses are translated at the exchange rates prevailing when the transactions occurred. Gains and losses resulting from translation are recognized in other income (expense), net in the consolidated statements of operations and comprehensive loss in the period in which they arise. Non-monetary assets and liabilities are translated at historical exchange rates.</w:t>
      </w:r>
    </w:p>
    <w:p>
      <w:pPr>
        <w:spacing w:after="0" w:line="183"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derives revenue primarily from: (i) professional services related to research projects, proof of concept development, and quantum education and (ii) compute and other services which includes provision of compute services, such as co-development and execution of quantum algorithms on Old Xanadu’s quantum computing systems, and provision, on a non-exclusive basis via access to its photonic based-hardware, of quantum-computing-as-a-service (“QCaaS”).</w:t>
      </w:r>
    </w:p>
    <w:p>
      <w:pPr>
        <w:spacing w:after="0" w:line="177" w:lineRule="exact"/>
        <w:rPr>
          <w:rFonts w:ascii="Times New Roman" w:cs="Times New Roman" w:eastAsia="Times New Roman" w:hAnsi="Times New Roman"/>
          <w:sz w:val="18"/>
          <w:szCs w:val="18"/>
          <w:color w:val="auto"/>
        </w:rPr>
      </w:pPr>
    </w:p>
    <w:p>
      <w:pPr>
        <w:ind w:left="6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 is recognized based on the following five step model in accordance with Accounting Standards Codification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Old Xanadu enters into contracts that can include various combinations of products and services, which are generally capable of being distinct and accounted for as separate performance obligations. Payment terms on invoiced amounts are typically net 30 days or less. Contract durations generally range from six months to several years. A contract’s transaction price is allocated to each distinct performance obligation based on their estimated standalone selling price. Old Xanadu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Old Xanadu determines standalone selling price by considering its overall pricing objectives and market conditions, including cost plus a reasonable margin. Significant pricing practices considered include Old Xanadu’s discounting practices, the value of the contracts, historical standalone sales, customer demographics, geographic locations, and the number and types of users within the contracts.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recognized net of taxes collected from customers, which are subsequently remitted to governmental authorities.</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Professional services arrangements often include a series of activities with progress billing milestones. Old Xanadu’s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Old Xanadu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Old Xanadu’s compute services represent a performance obligation that is satisfied over-time. Revenue is recognized on a straight-line basis over the contract term.</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 may result in accounts receivable, contract assets, and deferred revenue on Old Xanadu’s consolidated balance sheets. A receivable is recorded in the period in which Old Xanadu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Old Xanadu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Old Xanadu defers commission payments to employees or third parties that are direct and incremental to the acquisition of customer contracts in the period the contract is executed and are recognized into sales and marketing expense over a period consistent with the transfer of goods or services to the customer if that period is greater than one year. No such costs were incurred in the years presented.</w:t>
      </w:r>
    </w:p>
    <w:p>
      <w:pPr>
        <w:spacing w:after="0" w:line="176"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consists of direct expenses related to building specialized quantum hardware and delivering Old Xanadu’s services. Cost of revenue includes direct manufacturing costs, personnel-related expenses, including stock-based compensation, and overhead costs, including operating lease expenses, allocated to customer-facing functions. Depreciation and amortization of quantum systems and related software are excluded from cost of revenue.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are charged to the consolidated statement of operations and comprehensive loss as incurred. Research and development expenses are comprised of costs in performing research and development activities and include personnel-related costs, process development costs, chip fabrication costs, consulting fees, lab materials, software costs, cloud computing costs, and other related costs.</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tangible assets or software to be used in research and development activities is constructed by Old Xanadu or acquired, the costs are expensed as incurred unless those assets have an alternative future use. When assets with alternative future use are consumed in research and development activities they are recorded as research and development expenses.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Old Xanadu accounts for stock-based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Equity-settled stock-based payments to employees and others providing similar services are recognized as stock-based compensation expense based on the fair value of the equity instruments at the grant date. Stock-based compensation expense is recognized over the requisite service period on a straight-line basis, with a corresponding increase in additional paid-in capital within shareholders’ equity. Old Xanadu recognizes forfeitures as they occur.</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expenses: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costs are expensed as incurred and are included in sales and marketing expenses in the consolidated statements of operations and comprehensive loss. These costs totaled $490, $264, and $77 for the years ended December 31, 2025, 2024, and 2023,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rFonts w:ascii="Times New Roman" w:cs="Times New Roman" w:eastAsia="Times New Roman" w:hAnsi="Times New Roman"/>
          <w:sz w:val="18"/>
          <w:szCs w:val="18"/>
          <w:color w:val="auto"/>
        </w:rPr>
      </w:pPr>
    </w:p>
    <w:p>
      <w:pPr>
        <w:jc w:val="both"/>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enters into operating leases for its office space tenancies. Operating leases are included in operating lease right-of-use (“ROU”) assets and operating lease liabilities on the consolidated balance sheets. As of December 31, 2025, and 2024, Old Xanadu had no finance lease contracts.</w:t>
      </w:r>
    </w:p>
    <w:p>
      <w:pPr>
        <w:spacing w:after="0" w:line="161"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determines the initial classification and measurement of its ROU assets and lease liabilities at the lease commencement date. Operating lease ROU assets and operating lease liabilities are recognized on the consolidated balance sheets based on the present value of minimum lease payments over the lease term. Old Xanadu’s leases do not provide an implicit rate, and therefore, the incremental borrowing rate based on the information available on the commencement date is used to determine the present value of lease payments. The lease term includes options to extend or terminate the lease when it is reasonably certain that Old Xanadu will exercise that option. Lease expense is recognized on a straight-line basis over the lease term.</w:t>
      </w:r>
    </w:p>
    <w:p>
      <w:pPr>
        <w:spacing w:after="0" w:line="18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Xanadu’s lease agreements include lease and non-lease components, which are accounted for separately in the determination of lease costs. Variable lease and non-lease components are excluded from the lease payments used to measure the ROU assets and lease liabilities and are recognized in the consolidated statements of operations and comprehensive loss in the year in which the obligation for those payments is incurred.</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accounts for a lease modification as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tax credits and government assistance:</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Refundable investment tax credits (“ITCs”) pursuant to the Scientific Research and Experimental Development (“SR&amp;ED”) program and other government assistance including grants and wage subsidies related to current expenditures are recorded as other operating income (expense), net within the consolidated statements of operations and comprehensive loss. Non-refundable investment tax credits are recorded as a reduction in income tax expense. Old Xanadu accounts for investment tax credits and government grants and subsidies by analogy to International Accounting Standard 20, </w:t>
      </w:r>
      <w:r>
        <w:rPr>
          <w:rFonts w:ascii="Times New Roman" w:cs="Times New Roman" w:eastAsia="Times New Roman" w:hAnsi="Times New Roman"/>
          <w:sz w:val="18"/>
          <w:szCs w:val="18"/>
          <w:i w:val="1"/>
          <w:iCs w:val="1"/>
          <w:color w:val="auto"/>
        </w:rPr>
        <w:t>Accounting for Government Grants and Disclosures of Government Assistance</w:t>
      </w:r>
      <w:r>
        <w:rPr>
          <w:rFonts w:ascii="Times New Roman" w:cs="Times New Roman" w:eastAsia="Times New Roman" w:hAnsi="Times New Roman"/>
          <w:sz w:val="18"/>
          <w:szCs w:val="18"/>
          <w:color w:val="auto"/>
        </w:rPr>
        <w:t>. The investment tax credits, and government grants and subsidies are recognized in income in the period when the related expenditure is recognized as an expense provided there is reasonable assurance that Old Xanadu has complied with, and will continue to comply with, all conditions necessary to obtain the government assistance or credit. Government grants and assistance related to capitalized expenditures are recognized as a reduction to the carrying amount of the related asset.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shares:</w:t>
      </w:r>
    </w:p>
    <w:p>
      <w:pPr>
        <w:spacing w:after="0" w:line="22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Old Xanadu applies the provisions of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in determining the classification of convertible preferred shares as permanent equity, temporary equity, or liabilities. Factors considered include conversion features, embedded features, redemption features, and the nature of the host instrument. Convertible preferred shares classified as equity are recognized at the issuance price net of issuance costs.</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accounts for income taxes under the asset and liability method, which requires the recognition of deferred tax assets and liabilities for the estimated future tax consequences of events that have been included in the consolidated financial statements or in Old Xanadu’s tax returns. Under this method, deferred tax assets and liabilities are recognized for temporary differences between the carrying amounts in the consolidated financial statements and the tax basis of assets and liabilities. In addition, deferred tax assets and liabilities are recorded for non-capital loss carryforwards and tax credit carryforwards.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to be realized. Factors considered when assessing the likelihood of future realization of deferred tax assets include Old Xanadu’s recent cumulative loss experience and expectations of future earnings, capital gains and investments in the applicable jurisdiction, carryforward periods available for tax reporting purposes, among others.</w:t>
      </w:r>
    </w:p>
    <w:p>
      <w:pPr>
        <w:spacing w:after="0" w:line="188"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evaluates tax positions taken or expected to be taken in the course of preparing tax returns and applies a two-step approach in recognizing and measuring uncertain tax positions. The first step is to evaluate the tax position for recognition by determining if the available evidence indicates that it is more likely than not that the position will be sustained upon examination by the applicable tax authority. The second step, for those tax positions that meet the recognition criteria, is to measure the tax benefit as the largest amount which is more than 50% likely of being realized upon ultimate settlement.</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share:</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loss per share is computed by dividing the net loss available to common shareholders by the weighted average number of shares of common shares outstanding during each period. Old Xanadu’s potentially dilutive securities include outstanding stock options and convertible preferred shares. Diluted net loss per share gives effect to all potentially dilutive securities, assuming that such shares were outstanding and dilutive during each period, except when the inclusion of the potentially dilutive securities would have an anti-dilutive effect.</w:t>
      </w:r>
    </w:p>
    <w:p>
      <w:pPr>
        <w:spacing w:after="0" w:line="17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Xanadu applies the two-class method when computing net loss per share, as Old Xanadu has issued shares that meet the definition of participating securities. The two-class method allocates earnings between common shareholders and holders of participating securities. Old Xanadu’s convertible preferred shares are deemed to be participating securities due to their rights to participate in dividends with common shares. In periods where there is a net loss, no allocation of undistributed net loss to the convertible preferred shares is performed as the holders of the convertible preferred shares are not contractually obligated to absorb Old Xanadu’s losses. Old Xanadu recognizes interest and penalties related to uncertain tax provisions as a component of income tax expense.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w:t>
      </w:r>
    </w:p>
    <w:p>
      <w:pPr>
        <w:spacing w:after="0" w:line="22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principal or most advantageous market in which Old Xanadu would transact. The fair value hierarchy prioritizes which inputs should be used in measuring fair value and requires the use of observable market data when available. 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market prices in active markets that the reporting entity has the ability to access at the date of the fair value measurement.</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measurement of the assets or liabilities.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credit risk:</w:t>
      </w:r>
    </w:p>
    <w:p>
      <w:pPr>
        <w:spacing w:after="0" w:line="22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that potentially subject Old Xanadu to concentration of credit risk principally consist of cash and cash equivalents and accounts receivable. Old Xanadu’s policy is to place its cash and cash equivalents with high quality financial institutions to limit the amount of credit exposure. For Old Xanadu’s accounts receivable and grants receivable, credit risk is dependent upon the financial stability of individual customers or government entity. Old Xanadu performs ongoing evaluations of its customers’ and grantor’s financial condition and does not have a history of material credit losses. Refer to note 18 for additional information around Old Xanadu’s significant customers. Other receivables represent an insignificant part of Old Xanadu’s financial position.</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accounting pronouncements</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Old Xanadu elected to voluntarily discontinue the use of certain private company accounting alternatives previously permitted by the Private Company Council (“PCC”) and transitioned to the reporting and disclosure requirements applicable to Public Business Entities (“PBEs”) as defined in the FASB ASC Master Glossary. Old Xanadu believes this transition provides greater transparency and enhances the comparability of its financial position and results of operations for its stakeholders.</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in accounting principle has been applied retrospectively to all periods presented. The transition to PBE standards primarily impacted Old Xanadu’s disclosures related to fair value measurements and income taxes (note 8). This change did not result in a material adjustment to Old Xanadu’s consolidated balance sheets, statements of operations and comprehensive loss, or cash flows for any period presented.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2025, Old Xanadu adopted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requires enhanced disaggregation within the effective tax rate reconciliation and additional information regarding income taxes paid. Old Xanadu adopted this guidance on a retrospective basis; accordingly, prior period disclosures have been recast to conform to the new requirements.</w:t>
      </w:r>
    </w:p>
    <w:p>
      <w:pPr>
        <w:spacing w:after="0" w:line="175" w:lineRule="exact"/>
        <w:rPr>
          <w:sz w:val="20"/>
          <w:szCs w:val="20"/>
          <w:color w:val="auto"/>
        </w:rPr>
      </w:pPr>
    </w:p>
    <w:p>
      <w:pPr>
        <w:ind w:left="660" w:hanging="328"/>
        <w:spacing w:after="0"/>
        <w:tabs>
          <w:tab w:leader="none" w:pos="6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issued but not yet adopted accounting pronouncements:</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Accounting Standard Update No. 2024-03, “Income Statement — Reporting Comprehensive Income — Expense Disaggregation Disclosures” (“ASU 2024-03”). The standard requires additional expense disclosures by public business entities in the notes to the financial statements. The guidance is effective for annual periods beginning after December 15, 2026, and interim periods within fiscal years beginning after December 15, 2027, with early adoption permitted. Old Xanadu will adopt this guidance in the year-ended December 31, 2027 and is in the process of evaluating the impact of this standard on its consolidated financial statements.</w:t>
      </w:r>
    </w:p>
    <w:p>
      <w:pPr>
        <w:spacing w:after="0" w:line="18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which provides an authoritative framework for the recognition, measurement, and presentation of government grants. This guidance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Old Xanadu for fiscal years beginning after December 15, 2028, and interim periods within those years, with early adoption permitted. Old Xanadu is currently evaluating the impact of this guidance on its consolidated financial statements but does not expect the adoption to have a material impact on its financial position, results of operations, or cash flows.</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Xanadu’s accounts receivable include trade, interest and other receivables as of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receivable (note 21)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both December 31, 2025 and 2024, Old Xanadu’s allowance for doubtful accounts was $nil.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are comprised of the following as of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materials and supplies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3,675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professional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w w:val="93"/>
              </w:rPr>
              <w:t>6,229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8,291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are comprised of the following as of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other payroll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systems and servers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Test and computer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16,988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3,637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31,598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24,129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18,313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Old Xanadu recognized depreciation expense of $4,310, $3,695, and $2,813 respectively, related to property and equipment.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6"/>
                <w:szCs w:val="16"/>
                <w:color w:val="auto"/>
              </w:rPr>
            </w:pPr>
          </w:p>
        </w:tc>
        <w:tc>
          <w:tcPr>
            <w:tcW w:w="96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Net Book</w:t>
            </w:r>
          </w:p>
        </w:tc>
        <w:tc>
          <w:tcPr>
            <w:tcW w:w="100" w:type="dxa"/>
            <w:vAlign w:val="bottom"/>
            <w:gridSpan w:val="2"/>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7,586</w:t>
            </w:r>
          </w:p>
        </w:tc>
        <w:tc>
          <w:tcPr>
            <w:tcW w:w="36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4,234</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software licenses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9,992</w:t>
            </w: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6"/>
                <w:szCs w:val="16"/>
                <w:color w:val="auto"/>
              </w:rPr>
            </w:pPr>
          </w:p>
        </w:tc>
        <w:tc>
          <w:tcPr>
            <w:tcW w:w="96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Net Book</w:t>
            </w:r>
          </w:p>
        </w:tc>
        <w:tc>
          <w:tcPr>
            <w:tcW w:w="100" w:type="dxa"/>
            <w:vAlign w:val="bottom"/>
            <w:gridSpan w:val="2"/>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4,980</w:t>
            </w:r>
          </w:p>
        </w:tc>
        <w:tc>
          <w:tcPr>
            <w:tcW w:w="36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(2,129)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2,851</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software licenses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6,674</w:t>
            </w: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Old Xanadu recognized amortization expense of $1,539, $1,174, and $917 related to intangible assets,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2025, estimated amortization expense related to intangible assets is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years ending December 31,</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components of net loss before income taxes generated by domestic and foreign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78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w:t>
            </w:r>
          </w:p>
        </w:tc>
        <w:tc>
          <w:tcPr>
            <w:tcW w:w="100" w:type="dxa"/>
            <w:vAlign w:val="bottom"/>
            <w:shd w:val="clear" w:color="auto" w:fill="CCEEFF"/>
          </w:tcPr>
          <w:p>
            <w:pPr>
              <w:spacing w:after="0"/>
              <w:rPr>
                <w:sz w:val="18"/>
                <w:szCs w:val="18"/>
                <w:color w:val="auto"/>
              </w:rPr>
            </w:pPr>
          </w:p>
        </w:tc>
      </w:tr>
      <w:tr>
        <w:trPr>
          <w:trHeight w:val="23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F-58</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as of December 31, 2025, 2024, and 2023 is reconciled to net loss before income taxes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(70,667)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(45,968)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(35,592)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Canadian federal statutory tax rate</w:t>
            </w:r>
            <w:r>
              <w:rPr>
                <w:rFonts w:ascii="Times New Roman" w:cs="Times New Roman" w:eastAsia="Times New Roman" w:hAnsi="Times New Roman"/>
                <w:sz w:val="29"/>
                <w:szCs w:val="29"/>
                <w:color w:val="auto"/>
                <w:vertAlign w:val="superscript"/>
              </w:rPr>
              <w:t>(1)</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provision for income taxes at federal statutory rate</w:t>
            </w:r>
          </w:p>
        </w:tc>
        <w:tc>
          <w:tcPr>
            <w:tcW w:w="30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(10,600)</w:t>
            </w:r>
          </w:p>
        </w:tc>
        <w:tc>
          <w:tcPr>
            <w:tcW w:w="2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2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2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 :</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(1,770)</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13,179</w:t>
            </w:r>
          </w:p>
        </w:tc>
        <w:tc>
          <w:tcPr>
            <w:tcW w:w="22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6,391</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6,768</w:t>
            </w:r>
          </w:p>
        </w:tc>
        <w:tc>
          <w:tcPr>
            <w:tcW w:w="2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true-up</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2,325</w:t>
            </w:r>
          </w:p>
        </w:tc>
        <w:tc>
          <w:tcPr>
            <w:tcW w:w="22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320" w:hanging="332"/>
        <w:spacing w:after="0" w:line="536" w:lineRule="auto"/>
        <w:tabs>
          <w:tab w:leader="none" w:pos="3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apply the federal tax rate of 15% which is the federal statutory rate of Canada, net of the general tax reduction and tax abatement. The components of Old Xanadu’s deferred tax assets and liabilities as of December 31, 2025, 2024, and 2023 are as follows:</w:t>
      </w:r>
    </w:p>
    <w:tbl>
      <w:tblPr>
        <w:tblLayout w:type="fixed"/>
        <w:tblInd w:w="0" w:type="dxa"/>
        <w:tblCellMar>
          <w:top w:w="0" w:type="dxa"/>
          <w:left w:w="0" w:type="dxa"/>
          <w:bottom w:w="0" w:type="dxa"/>
          <w:right w:w="0" w:type="dxa"/>
        </w:tblCellMar>
      </w:tblPr>
      <w:tr>
        <w:trPr>
          <w:trHeight w:val="245"/>
        </w:trPr>
        <w:tc>
          <w:tcPr>
            <w:tcW w:w="45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54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Non-capital losses available for carryforward</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Investment tax credits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13,245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4,139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SR&amp;ED Pool</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12,336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15,268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14,388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Donations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grant income</w:t>
            </w:r>
          </w:p>
        </w:tc>
        <w:tc>
          <w:tcPr>
            <w:tcW w:w="2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45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27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59,341</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36,405</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28,494</w:t>
            </w:r>
          </w:p>
        </w:tc>
        <w:tc>
          <w:tcPr>
            <w:tcW w:w="100" w:type="dxa"/>
            <w:vAlign w:val="bottom"/>
            <w:tcBorders>
              <w:top w:val="single" w:sz="8" w:color="CCEEFF"/>
            </w:tcBorders>
          </w:tcPr>
          <w:p>
            <w:pPr>
              <w:spacing w:after="0"/>
              <w:rPr>
                <w:sz w:val="17"/>
                <w:szCs w:val="17"/>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Tax on investment credits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(2,778)</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(767)</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(1,842)</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(1,758)</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23"/>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45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3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54,361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32,892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24,044</w:t>
            </w:r>
          </w:p>
        </w:tc>
      </w:tr>
      <w:tr>
        <w:trPr>
          <w:trHeight w:val="23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(54,361)</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(32,892)</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(24,044)</w:t>
            </w:r>
          </w:p>
        </w:tc>
      </w:tr>
      <w:tr>
        <w:trPr>
          <w:trHeight w:val="223"/>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45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F-59</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 has evaluated the positive and negative evidence bearing upon the realizability of its deferred tax assets and determined that it is more likely than not that it will not realize most of the benefits of its deferred tax assets due to the cumulative operating loss in recent years. Accordingly, Old Xanadu has provided a full valuation allowance as at December 31, 2025, 2024, and 2023. The net increase in the valuation allowance of $21,469 in the year ended December 31, 2025 is primarily due to the impact of capitalized research and development expenses and current year operating losses. Old Xanadu will continue to reassess the valuation allowance quarterly and if future evidence allows for a partial or full release of the valuation allowance, a tax benefit will be recorded accordingly.</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2025, Old Xanadu has unused Canadian non-capital loss carry forwards of approximately $60,990 (2024: $52,839, 2023: $59,788), which are available to offset future taxable income. The loss carry forwards expire between 2042 and 2045. In addition, Old Xanadu has non-refundable Canadian ITCs of approximately $13,245 (2024: $3,814, 2023: $4,139) expiring between 2039 and 2044, which are available to be applied against future Canadian income taxes payable.</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 had no material uncertain income tax positions for the years ended December 31, 2025, 2024, and 2023. During the years ended December 31, 2025, 2024, and 2023, there were no material interest or penalties related to uncertain tax positions. Old Xanadu remains subject to audit by the relevant tax authorities for the years ended 2022 through 2025.</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Old Xanadu’s long-term debt is comprised of the Government of Canada Strategic Innovation Fund (“SIF”) Loan, and the Government of Canada Federal Economic Development Agency (“FedDev”) Loan as follows:</w:t>
      </w: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SIF Loan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FedDev Loan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SIF Loan</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Under the SIF Loan, SIF is committed to provide Old Xanadu contributions up to C$40,000 contingent on Old Xanadu incurring defined eligible expenditures. Contributions from SIF shall be used for the development of photonic-based, fault-tolerant quantum computers, including projects involving the adaptation of research findings for commercial applications, development of current products through the implementation of new or incremental technology, and development of process improvements which reduce the environmental footprint of current production. As of December 31, 2025 and 2024, Old Xanadu has received C$35,682 and C$19,214 in total funding from SIF, respectively.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 While revenue projections are inherently uncertain given the early stage of the quantum industry, Old Xanadu’s interest calculation anticipates repayments commencing as early as 2028 and repayment of the full principal amount, at the 150% level, by the end of the 20 year repayment installment period.</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SIF Loan includes certain covenants requiring Old Xanadu to support high-skilled jobs in Canada, collaborate with Canadian institutions and small and medium-sized Canadian-based enterprises, and invest in R&amp;D within Canada. Repayments of the SIF Loan can also be triggered upon default on loan covenants in the agreement, termination of the agreement, or upon a change of control that has not been approved by the Government of Canada. Old Xanadu determined the Business Combination did not constitute a change in control as defined in the SIF Loan and no approvals were required by the Government of Canada. As of December 31, 2025 and 2024, Old Xanadu was in compliance with all events that would trigger default or termination of the agreement.</w:t>
      </w:r>
    </w:p>
    <w:p>
      <w:pPr>
        <w:spacing w:after="0" w:line="185"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Old Xanadu accounts for the SIF Loan as a liability on Old Xanadu’s consolidated balance sheets in accordance with ASC 470-10-25, </w:t>
      </w:r>
      <w:r>
        <w:rPr>
          <w:rFonts w:ascii="Times New Roman" w:cs="Times New Roman" w:eastAsia="Times New Roman" w:hAnsi="Times New Roman"/>
          <w:sz w:val="18"/>
          <w:szCs w:val="18"/>
          <w:i w:val="1"/>
          <w:iCs w:val="1"/>
          <w:color w:val="auto"/>
        </w:rPr>
        <w:t>Sales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The SIF Loan is initially measured at face value and is subsequently amortized using the effective interest method, which includes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over the estimated term of the SIF Loan. The amortization schedule is based on projected cash flows derived from Old Xanadu’s long-term revenue forecast. 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income (expense), net. As the SIF Loan is originated through a government program, a market rate of interest is not imputed in accordance with the scope limitations of ASC 835.</w:t>
      </w:r>
    </w:p>
    <w:p>
      <w:pPr>
        <w:spacing w:after="0" w:line="186"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Old Xanadu determined a weighted average effective interest rate of 4.69% and 5.52%, respectively, based on the most recent revenue projections at each reporting date. During the years ended December 31, 2025 and 2024, Old Xanadu recognized $897 and $511 of interest expense, respectively, related to the SIF Loan, inclusive of foreign exchange, respectively, within interest income (expense), net in the consolidated statements of operations and comprehensive loss. This included $182 of gains and $24 of losses related to retrospective method adjustments to the accrued interest portion of the SIF Loan during the years ended December 31, 2025 and 2024, respectively.</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changes in the carrying value of the SIF Loan: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6,413</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received, net of changes in foreign exchange rates</w:t>
            </w:r>
          </w:p>
        </w:tc>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7,054</w:t>
            </w: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 of changes in foreign exchange rates</w:t>
            </w:r>
          </w:p>
        </w:tc>
        <w:tc>
          <w:tcPr>
            <w:tcW w:w="4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03"/>
        </w:trPr>
        <w:tc>
          <w:tcPr>
            <w:tcW w:w="50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31, 2024</w:t>
            </w:r>
          </w:p>
        </w:tc>
        <w:tc>
          <w:tcPr>
            <w:tcW w:w="49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13,978</w:t>
            </w:r>
          </w:p>
        </w:tc>
        <w:tc>
          <w:tcPr>
            <w:tcW w:w="100" w:type="dxa"/>
            <w:vAlign w:val="bottom"/>
            <w:tcBorders>
              <w:top w:val="single" w:sz="8" w:color="CCEEFF"/>
            </w:tcBorders>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received, net of changes in foreign exchange rates</w:t>
            </w:r>
          </w:p>
        </w:tc>
        <w:tc>
          <w:tcPr>
            <w:tcW w:w="4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12,661</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changes in foreign exchange rates</w:t>
            </w:r>
          </w:p>
        </w:tc>
        <w:tc>
          <w:tcPr>
            <w:tcW w:w="4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r>
      <w:tr>
        <w:trPr>
          <w:trHeight w:val="223"/>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49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50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jc w:val="right"/>
              <w:ind w:right="4490"/>
              <w:spacing w:after="0"/>
              <w:rPr>
                <w:sz w:val="20"/>
                <w:szCs w:val="20"/>
                <w:color w:val="auto"/>
              </w:rPr>
            </w:pPr>
            <w:r>
              <w:rPr>
                <w:rFonts w:ascii="Times New Roman" w:cs="Times New Roman" w:eastAsia="Times New Roman" w:hAnsi="Times New Roman"/>
                <w:sz w:val="18"/>
                <w:szCs w:val="18"/>
                <w:color w:val="auto"/>
              </w:rPr>
              <w:t>F-61</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Old Xanadu has classified the SIF Loan as non-current as repayments will not commence within the 12 months following the balance sheet date.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FedDev Loan</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Under the FedDev Loan, an aggregate principal amount of C$3,750 is made available to Old Xanadu based on Old Xanadu’s incurrence of eligible expenditures. Proceeds from the FedDev Loan shall be used to advance and commercialize Old Xanadu’s quantum products. As of December 31, 2025 and 2024, Old Xanadu had received C$3,375 and C$2,920, respectively, in gross proceeds from the FedDev Loan.</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FedDev Loan is repayable in 60 monthly installments commencing on April 1, 2027. As the FedDev Loan originated through a government program with regulated interest, a market rate of interest is not imputed in accordance with the scope exclusions of ASC 835.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FedDev Loan includes certain event of defaults, including when Old Xanadu fails to meet the objectives or milestones outlined in the agreement.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Repayment of the FedDev Loan can also be triggered upon the occurrence of an event of default stated in the agreement. As of December 31, 2025,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Old Xanadu is not aware of any events that would trigger default of the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value of the FedDev Loan: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received, net of changes in foreign exchange rates</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received, net of changes in foreign exchange rates</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Old Xanadu has classified the FedDev Loan as non-current as repayments will not commence within the 12 months following the balance sheet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expected repayment schedule of the FedDev Loan.</w:t>
            </w: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r>
      <w:tr>
        <w:trPr>
          <w:trHeight w:val="237"/>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8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repayments</w:t>
            </w:r>
          </w:p>
        </w:tc>
        <w:tc>
          <w:tcPr>
            <w:tcW w:w="17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340" w:hanging="332"/>
        <w:spacing w:after="0"/>
        <w:tabs>
          <w:tab w:leader="none" w:pos="3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Old Xanadu’s warrant liabilities are comprised of the SFTrust Warrants and RBC Warrants (each, as defined below)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60" w:type="dxa"/>
            <w:vAlign w:val="bottom"/>
            <w:tcBorders>
              <w:bottom w:val="single" w:sz="8" w:color="CCEEFF"/>
            </w:tcBorders>
          </w:tcPr>
          <w:p>
            <w:pPr>
              <w:spacing w:after="0"/>
              <w:rPr>
                <w:sz w:val="21"/>
                <w:szCs w:val="21"/>
                <w:color w:val="auto"/>
              </w:rPr>
            </w:pPr>
          </w:p>
        </w:tc>
        <w:tc>
          <w:tcPr>
            <w:tcW w:w="5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SFTrust Warrants</w:t>
            </w:r>
          </w:p>
        </w:tc>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RBC Warrants</w:t>
            </w:r>
          </w:p>
        </w:tc>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warrant liabilities</w:t>
            </w:r>
          </w:p>
        </w:tc>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35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F-62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Warrant liabilities: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fair value of Old Xanadu’s warrant liabilities is estimated using a Black-Scholes option pricing model. Inherent in a Black-Scholes option pricing model are assumptions related to the fair value of the underlying common shares, expected stock-price volatility, expected term, risk-free interest rate and dividend yield.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Silicon Valley Bank warrants: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2018, Silicon Valley Bank was issued 34,000 warrants. All 34,000 warrants issued have an exercise price of C$0.29 per share and a 10-year term from their original issuance. The fair value of the SFTrust warrants on their respective grant dates were recognized within additional paid-in capital with an offset to debt issuance costs.</w:t>
      </w:r>
    </w:p>
    <w:p>
      <w:pPr>
        <w:spacing w:after="0" w:line="17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In connection with a 2021 amendment, Silicon Valley Bank was issued warrants to purchase 24,164 voting common shares representing 0.1% of the fully diluted shares, post series B financing, on the same terms and conditions as established for other common shareholders. Half of the warrants vested immediately upon entering into the amendment with the other half were contingent upon the draw of the Silicon Valley Bank term loan (“SVB Term Loan”) exceeding $5,000. All 12,082 vested warrants have an exercise price of $1.69 per share and a 12-year term from their original issuance. The warrants (collectively, the “SFTrust Warrants”) are recognized as a current liability on the consolidated balance sheets and are measured at fair value of $915 and $141 as of December 31, 2025 and 2024, respectively. The remaining 12,082 warrants have expired because Old Xanadu did not draw more than $5,000 of the SVB Term Loan prior to its full repayment and extinguishment on April 30, 2023.</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both December 31, 2025 and 2024, no warrants were exercised, and 46,082 warrants were issued and outstanding.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RBC Warrants: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RBC Warrants issued have an exercise price of $12.94 per share and a 12-year term from their original issuance. The RBC Warrants are recognized as a current liability on the consolidated balance sheets and are measured at fair value of $959 and $117 as of December 31, 2025 and 2024,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both December 31, 2025 and 2024, no RBC Warrants were exercised, and 13,999 RBC Warrants were issued and outstanding.</w:t>
      </w:r>
    </w:p>
    <w:p>
      <w:pPr>
        <w:spacing w:after="0" w:line="221" w:lineRule="exact"/>
        <w:rPr>
          <w:sz w:val="20"/>
          <w:szCs w:val="20"/>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shares:</w:t>
      </w:r>
    </w:p>
    <w:p>
      <w:pPr>
        <w:spacing w:after="0" w:line="22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and amount of convertible preferred shares authorized and issued and outstanding as of December 31, 2025, 2024, and 2023 by series: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Issued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3,975,516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6,034,735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6,034,735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99,774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2,862,494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2,476,434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87,158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Series 1 Seed Preferred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2,847,306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2,847,306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 Seed Preferred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970,344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970,344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Series 3 Seed Preferred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1,414,156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1,414,156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2,860</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18,104,551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17,718,491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Each preferred share is convertible, at the option of the holder, into one common share at the holder’s option, subject to certain adjustments including weighted average anti-dilution protection and down-round anti-dilution adjustments. As of December 31, 2025 and 2024, the maximum number of common shares that could be required to be issued if converted is 17,718,491 shares. The preferred shares automatically convert into common shares in the event of: (i) the closing of a public offering that results in proceeds of at least $50,000 or (ii) the voluntary conversion of at least a preferred majority.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right="7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the preferred shares are entitled to vote together as one series with holders of the voting common shares on an as-converted basis. The preferred shares are not redeemable at the option of the holders thereof or Old Xanadu.</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preferred shares of each class and series rank senior to the common shares and pari passu with each other class and series of preferred shares with respect to dividends and return of capital in the event of a liquidation event. Dividends are non-cumulative. The holders of the preferred shares shall be entitled to receive any dividends if and when declared by the Board of Directors.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deemed liquidation triggered by the sale of substantially all assets or a change of control resulting in Old Xanadu holding less than 50% voting rights, dissolution or winding up of Old Xanadu, the holders of each preferred share shall receive their original issue price, plus any declared but unpaid dividends on such share. Thereafter, any assets remaining following distribution to the holders of the preferred shares would be distributed to the holders of the common shares and any other series of shares ranking junior to the preferred shares.</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 xml:space="preserve">Old Xanadu has determined that the preferred shares are more akin to equity instruments and are classified as permanent equity under ASC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In addition, the economic characteristics and risks of the embedded conversion options are clearly and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to the preferred shares. As such, the conversion options are not required to be bifurcated from the host instruments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Common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number and amount of non-voting and voting common shares authorized and issued and outstanding as of</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common shares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24,468,242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Non-voting common shares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5,320,208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105,067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29,788,450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4,959,800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common shares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24,468,242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Non-voting common shares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5,320,208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69,830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29,788,450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4,924,563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7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Issued and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7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common shares</w:t>
            </w:r>
          </w:p>
        </w:tc>
        <w:tc>
          <w:tcPr>
            <w:tcW w:w="35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24,468,242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Non-voting common shares</w:t>
            </w:r>
          </w:p>
        </w:tc>
        <w:tc>
          <w:tcPr>
            <w:tcW w:w="4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5,320,208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57,727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29,788,450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4,912,460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37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3"/>
          </w:tcPr>
          <w:p>
            <w:pPr>
              <w:ind w:left="1720"/>
              <w:spacing w:after="0"/>
              <w:rPr>
                <w:sz w:val="20"/>
                <w:szCs w:val="20"/>
                <w:color w:val="auto"/>
              </w:rPr>
            </w:pPr>
            <w:r>
              <w:rPr>
                <w:rFonts w:ascii="Times New Roman" w:cs="Times New Roman" w:eastAsia="Times New Roman" w:hAnsi="Times New Roman"/>
                <w:sz w:val="18"/>
                <w:szCs w:val="18"/>
                <w:color w:val="auto"/>
              </w:rPr>
              <w:t>F-64</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voting common shares have one vote per share. Dividends may be declared and paid on both the voting and non-voting common shares, subject in all cases to the rights and preferences of the holders of the preferred shares and authorization by the Board of Directors. In the event of any voluntary or involuntary liquidation, dissolution or winding-up of Old Xanadu, after payment of all preferential amounts required to be paid to the holders of preferred shares, the holders of the common shares and non-voting common shares are entitled to share equally, share-for-share, in any distribution of the remaining assets of Old Xanadu.</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changes in issued and outstanding voting and non-voting common shares for the years ended December 31, 2025,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Voting Common Shares</w:t>
            </w: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Non-Voting Common Shares</w:t>
            </w:r>
          </w:p>
        </w:tc>
      </w:tr>
      <w:tr>
        <w:trPr>
          <w:trHeight w:val="237"/>
        </w:trPr>
        <w:tc>
          <w:tcPr>
            <w:tcW w:w="59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4,854,733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17,350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Issuance upon exercise of 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40,377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4,854,733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57,727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Issuance upon exercise of 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12,103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4,854,733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7,096</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69,830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Issuance upon exercise of 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35,237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4,854,733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105,067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Old Xanadu’s 2017 Equity Incentive Plan (the “2017 Plan”), the Board of Directors is authorized to grant restricted shares and stock options for up to 1,393,773 non-voting common shares.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2018, the Board of Directors approved the 2018 Equity Incentive Plan (the “2018 Plan”). The total option pool available for grant was 5,749,323 non-voting common shares under the 2018 Plan. As of December 31, 2025, 873,830 and nil options are still available for grant under the 2018 Plan and the 2017 Plan, respectively.</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granted to date under the 2017 Plan and 2018 Plan have a service condition with the following vesting terms: (a) 25% of the options granted vest on a date that is one year after the date of grant and (b) the remaining unvested options vest in equal monthly installments for an additional 36 months.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terms initially dictated that the options would expire 10 years from the original grant date and 90 days from an employee’s termination date. On September 5, 2025, a resolution was passed to extend the exercise period of options granted to certain terminated employees to June 30, 2026 and in the case of one employee to November 27, 2026. During the year ended December 31, 2025, Old Xanadu recorded $97 in stock option expense related to these modifications. There are no further amounts to recognize as all awards impacted had vested at the time of modification.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Old Xanadu’s stock options activity during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(CAD)</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1,857,041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7.70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1,830,772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40,377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Expired and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214,454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3,432,982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26,440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685,875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18.79</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Expired and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235,326</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13.28</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3,871,428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7.42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804,768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47.48</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35,237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Expired and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255,269</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4,385,690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6.65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2,758,736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10.07</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5.33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272,990</w:t>
            </w:r>
          </w:p>
        </w:tc>
        <w:tc>
          <w:tcPr>
            <w:tcW w:w="100" w:type="dxa"/>
            <w:vAlign w:val="bottom"/>
            <w:tcBorders>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1,626,954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8.89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options granted was estimated on the date of grant using the Black-Scholes option pricing model with the following assumptions: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56"/>
        </w:trPr>
        <w:tc>
          <w:tcPr>
            <w:tcW w:w="72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37.76%</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37.98%</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37.75%</w:t>
            </w:r>
          </w:p>
        </w:tc>
      </w:tr>
      <w:tr>
        <w:trPr>
          <w:trHeight w:val="257"/>
        </w:trPr>
        <w:tc>
          <w:tcPr>
            <w:tcW w:w="72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Expected option term (in years)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r>
      <w:tr>
        <w:trPr>
          <w:trHeight w:val="256"/>
        </w:trPr>
        <w:tc>
          <w:tcPr>
            <w:tcW w:w="72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Weighted average fair value of underlying common shares at grant date (CAD)</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18.68</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options granted (CAD)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20.53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r>
    </w:tbl>
    <w:p>
      <w:pPr>
        <w:spacing w:after="0" w:line="179" w:lineRule="exact"/>
        <w:rPr>
          <w:sz w:val="20"/>
          <w:szCs w:val="20"/>
          <w:color w:val="auto"/>
        </w:rPr>
      </w:pPr>
    </w:p>
    <w:p>
      <w:pPr>
        <w:ind w:left="340" w:hanging="332"/>
        <w:spacing w:after="0"/>
        <w:tabs>
          <w:tab w:leader="none" w:pos="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based on that of comparable publicly traded companies.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stock options granted was calculated using the simplified method, which represents the average of the contractual term and the weighted-average vesting period of the option. Old Xanadu uses the simplified method because it does not have sufficient historical exercise data for its options to provide a reasonable basis upon which to estimate the expected term.</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underlying common shares was determined by the Board of Directors at each award grant date based on a variety of factors, including the results obtained from an independent third-party valuation, the illiquid nature of Old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Xanadu’s common shares, arm’s-length sales of Old Xanadu’s share capital, the effect of the rights and preferences of the preferred shareholders, and the prospects of a liquidity event, among others.</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2025, 2024, and 2023, the total intrinsic value of stock options exercised was $1,402, C$116, and C$565 respectively.</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stock-based compensation expense classified in the consolidated statements of operations and comprehensive loss for the years ended December 31, 2025,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total stock-based compensation capitalized to intangible assets was $251, $nil, and $nil respectively.</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cost related to unvested stock options was $15,764. This amount will be recognized over a weighted-average period of approximately 1.66 years.</w:t>
      </w:r>
    </w:p>
    <w:p>
      <w:pPr>
        <w:spacing w:after="0" w:line="158" w:lineRule="exact"/>
        <w:rPr>
          <w:sz w:val="20"/>
          <w:szCs w:val="20"/>
          <w:color w:val="auto"/>
        </w:rPr>
      </w:pPr>
    </w:p>
    <w:p>
      <w:pPr>
        <w:ind w:left="340" w:hanging="332"/>
        <w:spacing w:after="0"/>
        <w:tabs>
          <w:tab w:leader="none" w:pos="3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Old Xanadu’s cash and cash equivalents, accounts receivable, prepaid expenses and other current assets, accounts payable and accrued expenses and other current liabilities approximate their fair values due to the short-term maturity of these instruments. Apart from these instruments, the carrying amounts and fair values of Old Xanadu’s financial assets and liabilities were as follows as of December 31, 2025, 2024, and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6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40" w:type="dxa"/>
            <w:vAlign w:val="bottom"/>
          </w:tcPr>
          <w:p>
            <w:pPr>
              <w:spacing w:after="0"/>
              <w:rPr>
                <w:sz w:val="16"/>
                <w:szCs w:val="16"/>
                <w:color w:val="auto"/>
              </w:rPr>
            </w:pPr>
          </w:p>
        </w:tc>
        <w:tc>
          <w:tcPr>
            <w:tcW w:w="98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40" w:type="dxa"/>
            <w:vAlign w:val="bottom"/>
          </w:tcPr>
          <w:p>
            <w:pPr>
              <w:spacing w:after="0"/>
              <w:rPr>
                <w:sz w:val="16"/>
                <w:szCs w:val="16"/>
                <w:color w:val="auto"/>
              </w:rPr>
            </w:pPr>
          </w:p>
        </w:tc>
        <w:tc>
          <w:tcPr>
            <w:tcW w:w="98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Level 3</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SIF Loan – Level 3</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23,609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27,536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10,688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FedDev Loan – Level 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w:t>
            </w:r>
          </w:p>
        </w:tc>
      </w:tr>
    </w:tbl>
    <w:p>
      <w:pPr>
        <w:spacing w:after="0" w:line="198"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See note 10 for Old Xanadu’s use of the Black-Scholes option pricing model in estimating the fair value of its warrant liabilities. The significant unobservable input used in the fair value measurement of Old Xanadu’s warrant liabilities is the fair value of the underlying common shares, which was determined to be $77.82, $13.73, and $13.45 as of December 31, 2025, 2024, and 2023, respectively. A significant increase (decrease) to this input in isolation would have resulted in a significantly higher (lower) fair value measurement. Old Xanadu estimates the volatility of the underlying common stock for its warrants based on historical and implied volatility of select peer companies. The risk-free interest rate is based on the U.S. Treasury zero-coupon yield curve on the valuation date for a maturity commensurate with the expected remaining term of the warrants. The expected term of the warrants is assumed to be equal to their remaining contractual term. The dividend rate is based on the historical rate, which Old Xanadu anticipates remaining at zero. During the years ended December 31, 2025, 2024, and 2023, Old Xanadu recognized an increase of $1,616, a decrease of $12, and an increase of $196 related to the change in fair value of its warrant liabilities, respectively, within other income (expense), net in the statements of operations and comprehensive loss.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Fair value measurement: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summarizes the change in fair value of Old Xanadu’s warrant liabilities for the years ended December 31, 2025 and 2024. Changes in fair value have been recognized within other income (expense), net in the consolidated statements of operations and comprehensive loss.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net of changes in foreign exchange rates</w:t>
            </w:r>
          </w:p>
        </w:tc>
        <w:tc>
          <w:tcPr>
            <w:tcW w:w="4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2024</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net of changes in foreign exchange rates</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2025</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fair values of Old Xanadu’s long-term debt, including the SVB Term Loan, SIF Loan and FedDev Loan, are estimated based on discounting future cash flows at currently available interest rates with comparable terms.</w:t>
      </w:r>
    </w:p>
    <w:p>
      <w:pPr>
        <w:spacing w:after="0" w:line="162"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fair value measurement of the SIF Loan is considered a Level 3 valuation as it is based on a significant unobservable input related to the projected timing and amount of future revenues which determine expected future repayments.</w:t>
      </w:r>
    </w:p>
    <w:p>
      <w:pPr>
        <w:spacing w:after="0" w:line="158" w:lineRule="exact"/>
        <w:rPr>
          <w:sz w:val="20"/>
          <w:szCs w:val="20"/>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 enters into operating leases for its office space tenancies. As of December 31, 2025 and 2024, Old Xanadu’s leases had a remaining lease term of eight years and nine years respectively. Old Xanadu has a one-time termination option to cancel one of its office space leases as of 2030 but has not included this termination option in the lease term as Old Xanadu does not expect to exercise this option. Old Xanadu’s operating leases do not contain non-lease components.</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Xanadu’s office space leases are subject to annual operating costs that may change from time to time during the lease term. These costs are accounted for as variable lease payments and are recognized in the consolidated statements of operations and comprehensive loss in the year in which the obligation for these payments is incurred. These annual operating costs are a non-lease component, which are accounted for separately in the determination of lease costs.</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components of lease cost for the years ended December 31, 2025,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lease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r>
      <w:tr>
        <w:trPr>
          <w:trHeight w:val="237"/>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cost relating to variable lease payments not included in the measurement of lease liabilities</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20"/>
                <w:szCs w:val="20"/>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Pr>
          <w:p>
            <w:pPr>
              <w:spacing w:after="0"/>
              <w:rPr>
                <w:sz w:val="20"/>
                <w:szCs w:val="20"/>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2,152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additions (reductions) to operating ROU assets</w:t>
            </w: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weighted average discount rate used to measure Old Xanadu’s operating lease liabilities was 3.61% as of December 31, 2025, 2024, and 2023.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Xanadu’s future minimum operating lease payments as of December 31, 2025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3,484</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400" w:type="dxa"/>
            <w:vAlign w:val="bottom"/>
            <w:tcBorders>
              <w:top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400" w:type="dxa"/>
            <w:vAlign w:val="bottom"/>
            <w:tcBorders>
              <w:top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8,259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4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7,185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 and government assistance: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 is a participant in Phase 1 of the Canadian Quantum Champions Program (“CQCP”), a strategic initiative by the Government of Canada to support the development of scalable and fault-tolerant quantum computing platforms. Under the terms of the Contribution Agreement dated December 10, 2025, with His Majesty the King in Right of Canada, as represented by the Minister of Industry, Old Xanadu is eligible to receive a non-repayable financial contribution of up to CAD $23,000. This funding is designated to reimburse 100% of eligible costs—primarily consisting of direct labour and research and development activities—incurred through March 31, 2027.</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Funding is disbursed upon the successful completion of specific project Milestones, which include the submission and technical validation of an Initial Framework Proposal, an Interim Report, and a Final Report regarding quantum fault tolerance and scalability. The Agreement requires Old Xanadu to maintain its head office and facilities in Toronto, Ontario, for the duration of the four-year term and subjects all claims to final adjustments and potential holdbacks by the Minister. Additionally, Old Xanadu must comply with strict reporting requirements, including providing audited annual financial statements and maintaining records for periodic government audits.</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Old Xanadu recorded $5,011 of grant receivable. Old Xanadu was permitted to claim eligible expenditures incurred on or after May 26, 2025, and as such recorded $5,011 of grant income within other operating income for the 2025 fiscal year.</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year-ended December 31, 2025, Old Xanadu received an additional $1,706 through other government grants and tax credits for which Old Xanadu recognized $1,215 within other operating income (expense), net (2024 - $336, 2023 - $343) in the consolidated statement of operations and comprehensive loss and $491 was recognized on the consolidated balance sheet as of December 31, 2025 as deferred grant income (December 31, 2024-$nil).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income (expense),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Xanadu’s interest income (expense), net during the years ended December 31, 2025, 2024, and 2023 is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Interest expense includes $(851), $(552), and $(79) related to non-cash interest for the SIF loan and $nil, $nil, and $(198) related to non-cash interest for the SVB Term Loan for the years ended December 31, 2025, 2024, and 2023 respectively. The balance of the interest expense in 2023 was related to the SVB loan.</w:t>
      </w:r>
    </w:p>
    <w:p>
      <w:pPr>
        <w:spacing w:after="0" w:line="172" w:lineRule="exact"/>
        <w:rPr>
          <w:sz w:val="20"/>
          <w:szCs w:val="20"/>
          <w:color w:val="auto"/>
        </w:rPr>
      </w:pPr>
    </w:p>
    <w:p>
      <w:pPr>
        <w:ind w:left="340" w:hanging="332"/>
        <w:spacing w:after="0"/>
        <w:tabs>
          <w:tab w:leader="none" w:pos="3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shareholders for the years ended December 31, 2025,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(70,667)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(45,968)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(35,592)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4,944,814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4,917,324</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4,892,803</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(14.29</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Old Xanadu has two classes of common shares, voting common shares and non-voting common shares, each with identical participation rights to dividends and liquidation preferences, and therefore, the calculation of net loss per share as described above is identical to the calculation under the two-class method.</w:t>
      </w:r>
    </w:p>
    <w:p>
      <w:pPr>
        <w:spacing w:after="0" w:line="17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Since Old Xanadu was in a loss position for all periods presented, basic net loss per share is the same as diluted net loss per share for all periods as the inclusion of all potential common shares outstanding would have been anti-dilutive.</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(upon conversion) that were not included in the diluted net loss per share calculations because they would be anti-dilutive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9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86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as convertible to common shares (note 11)</w:t>
            </w:r>
          </w:p>
        </w:tc>
        <w:tc>
          <w:tcPr>
            <w:tcW w:w="2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17,718,491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17,718,491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17,718,491</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 as exercisable to common shares (note 10)</w:t>
            </w:r>
          </w:p>
        </w:tc>
        <w:tc>
          <w:tcPr>
            <w:tcW w:w="3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60,081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60,081</w:t>
            </w: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issued and outstanding (note 12)</w:t>
            </w:r>
          </w:p>
        </w:tc>
        <w:tc>
          <w:tcPr>
            <w:tcW w:w="3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4,385,690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3,871,428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3,432,982</w:t>
            </w:r>
          </w:p>
        </w:tc>
      </w:tr>
      <w:tr>
        <w:trPr>
          <w:trHeight w:val="210"/>
        </w:trPr>
        <w:tc>
          <w:tcPr>
            <w:tcW w:w="486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22,164,262</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21,650,000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21,211,554</w:t>
            </w:r>
          </w:p>
        </w:tc>
        <w:tc>
          <w:tcPr>
            <w:tcW w:w="10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48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F-70</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related balances: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Disaggregation of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Old Xanadu’s revenue disaggregated by revenue source is as follows for the years ended December 31, 2025, 2024, and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Compute and other 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Old Xanadu’s revenue by geography for the years ended December 31, 2025, 2024, and 2023, based on customer location: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934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3,545</w:t>
            </w:r>
          </w:p>
        </w:tc>
        <w:tc>
          <w:tcPr>
            <w:tcW w:w="24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4,617</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Rest of world includes countries where revenue from a single country is not greater than 10% of Old Xanadu’s total consolidated revenue for the year ended December 31, 2025 and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Contract balances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Old Xanadu had contract assets totaling $1,499 and $207 as of December 31, 2025 and 2024, respectively, which are included within accounts receivable in the consolidated balance sheets.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Old Xanadu had deferred revenue (or contract liabilities) totaling $544 and $309 as of December 31, 2025 and 2024, respectively, all of which was current. During the years ended December 31, 2025, 2024, and 2023, $309, $39, and $74 of revenue was recognized that was included in the deferred revenue balance as of December 31, 2024, 2023, and 2022, respectively. The increase in deferred revenue of $235 during the year-ended December 31, 2025 is primarily driven by cash payments received or receivable in advance of satisfying Old Xanadu’s performance obligations.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Transaction price allocated to remaining performance obligations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Old Xanadu’s revenue contracts are primarily short-term in nature with a contract term of six months to several years. For these contracts, Old Xanadu has applied the practical expedient for performance obligations that have an original expected duration of one year or less and does not disclose the remaining performance obligation as of the end of the reporting period or when Old Xanadu expects to recognize the revenue.</w:t>
      </w:r>
    </w:p>
    <w:p>
      <w:pPr>
        <w:spacing w:after="0" w:line="17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approximately $5,154 of revenue is expected to be recognized from remaining performance obligations on existing contracts, of which 100% is expected to be recognized in the next 12 months.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and related balances: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customers</w:t>
      </w:r>
    </w:p>
    <w:p>
      <w:pPr>
        <w:spacing w:after="0" w:line="22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summarizes the percentage of revenue from significant customers which accounted for ten percent or more of total revenue for the years ended December 31, 2025, 2024, and 2023:</w:t>
      </w:r>
    </w:p>
    <w:p>
      <w:pPr>
        <w:spacing w:after="0" w:line="17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2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2</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3</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4</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none of the outstanding customers have a receivables balance which exceeds 10% of the total trade and other receivables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 and contingencies: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Lease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14 for information on Old Xanadu’s lease obligations as of December 31,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Litigation</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From time to time, Old Xanadu may become a party to various legal proceedings in the ordinary course of business. Management believes that there are currently no claims or actions pending against Old Xanadu, the ultimate disposition of which could have a material adverse effect on Old Xanadu’s results of operations, financial condition, or cash flows, including third party infringement claims, labor and employment claims and threatened claims, tax and other matters.</w:t>
      </w:r>
    </w:p>
    <w:p>
      <w:pPr>
        <w:spacing w:after="0" w:line="18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Old Xanadu may agree to indemnify third parties with whom it enters into contractual relationships, including customers, lessors, and parties to other transactions with Old Xanadu, with respect to certain matters. Pursuant to these arrangements, Old Xanadu indemnifies, holds harmless and agrees to reimburse the indemnified parties for certain losses suffered or incurred by the indemnified party. It is not possible to reasonably estimate the overall maximum amount of these indemnification obligations. Historically, Old Xanadu has not been required to make payments under these obligations and, therefore, no liabilities have been recorded for these obligations in Old Xanadu’s consolidated balance sheets.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and 2024, Old Xanadu was not subject to any material litigation or material pending litigation claims.</w:t>
      </w:r>
    </w:p>
    <w:p>
      <w:pPr>
        <w:spacing w:after="0" w:line="221" w:lineRule="exact"/>
        <w:rPr>
          <w:sz w:val="20"/>
          <w:szCs w:val="20"/>
          <w:color w:val="auto"/>
        </w:rPr>
      </w:pPr>
    </w:p>
    <w:p>
      <w:pPr>
        <w:ind w:left="340" w:hanging="332"/>
        <w:spacing w:after="0"/>
        <w:tabs>
          <w:tab w:leader="none" w:pos="34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(“CODM”) in deciding how to allocate resources and in assessing performance.</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Xanadu’s CODM is its Chief Executive Officer. The CODM has determined that Old Xanadu operates in a single operating and reportable segment and manages segment performance and resource allocation based upon consolidated net loss. The measure of segment assets is reported on the consolidated balance sheets as total consolidated assets. Significant expenses reviewed by the CODM include those that are presented in the consolidated statements of operations and comprehensive loss. The CODM evaluates actual results compared to forecasted results for consolidated net loss, including significant expenses, when making decisions about allocating resources.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Substantially all of Old Xanadu’s long-lived assets are located in Canada. Refer to note 18 for additional information about Old Xanadu’s revenue by geography.</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Old Xanadu’s segment information of revenue, significant expenses and net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excluding salaries and payroll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below)</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(25,839)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(14,793)</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(15,198)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(11,308)</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(3,743)</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(3,913)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share-based compensation expense</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(34,477)</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(28,435)</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(23,776)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(4,869)</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4,670</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80" w:type="dxa"/>
            <w:vAlign w:val="bottom"/>
          </w:tcPr>
          <w:p>
            <w:pPr>
              <w:spacing w:after="0"/>
              <w:rPr>
                <w:sz w:val="18"/>
                <w:szCs w:val="18"/>
                <w:color w:val="auto"/>
              </w:rPr>
            </w:pPr>
          </w:p>
        </w:tc>
      </w:tr>
      <w:tr>
        <w:trPr>
          <w:trHeight w:val="29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shd w:val="clear" w:color="auto" w:fill="CCEEFF"/>
          </w:tcPr>
          <w:p>
            <w:pPr>
              <w:spacing w:after="0"/>
              <w:rPr>
                <w:sz w:val="24"/>
                <w:szCs w:val="24"/>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(70,667</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(45,968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(35,592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other operating income, net and other income (expense), net which are reflected in the consolidated statements of operations and comprehensive loss.</w:t>
      </w:r>
    </w:p>
    <w:p>
      <w:pPr>
        <w:spacing w:after="0" w:line="158" w:lineRule="exact"/>
        <w:rPr>
          <w:sz w:val="20"/>
          <w:szCs w:val="20"/>
          <w:color w:val="auto"/>
        </w:rPr>
      </w:pPr>
    </w:p>
    <w:p>
      <w:pPr>
        <w:ind w:left="340" w:hanging="332"/>
        <w:spacing w:after="0"/>
        <w:tabs>
          <w:tab w:leader="none" w:pos="34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and balances: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 2025, Xanadu was incorporated for the purpose of facilitating the Business Combination. Xanadu is 100% owned by Old Xanadu’s Chief Executive Officer.</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Old Xanadu has paid $1,806 of deferred transaction costs related to the Business Combination and $12 of audit fees on behalf of Xanadu. The total of these charges are due and payable from Xanadu and recorded as a related party receivable within accounts receivable on the Consolidated Balance Sheet as at December 31, 2025. The amounts are due on demand and are non-interest bearing.</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successful completion of the Business Combination, these deferred costs will be recognized as a reduction of equity with the combined companies. In the event the Business Combination is not consummated, these costs will be charged to expense in the period that such determination is made.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ind w:left="340" w:hanging="332"/>
        <w:spacing w:after="0"/>
        <w:tabs>
          <w:tab w:leader="none" w:pos="3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Old Xanadu has evaluated all events occurring through April 9, 2026, the date on which the Annual Financial Statements were issued, and during which time, no significant events occurred outside the normal course of business operations that would require disclosure except the following:</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2025, Old Xanadu entered into the Business Combination with SPAC, and Xanadu.</w:t>
      </w:r>
    </w:p>
    <w:p>
      <w:pPr>
        <w:spacing w:after="0" w:line="22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Xanadu, Old Xanadu and SPAC consummated the Business Combination. Upon closing, Xanadu became the parent entity of both Old Xanadu and SPAC. Pre-closing, Xanadu’s authorized share capital was amended to consist of three classes of shares: multiple voting shares (the “Class A Multiple Voting Shares”), subordinate voting shares (the Class B Subordinate Voting Shares”), and preferred shares issuable in series. At closing of the Business Combination and PIPE Financing, only Class A Multiple Voting Shares and Class B Subordinate Voting Shares were issued and outstanding; no preferred shares have been issued. Each Class A Multiple Voting Share entitles the holder to ten votes per share and each Class B Subordinate Voting Share entitles the holder to one vote per share. Xanadu has authorized an unlimited amount of Class A Multiple Voting Shares, Class B Subordinate Voting Shares, and preferred shares, with no par value.</w:t>
      </w:r>
    </w:p>
    <w:p>
      <w:pPr>
        <w:spacing w:after="0" w:line="188"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(i) each outstanding Old Xanadu preferred share was converted into and exchanged for one Old Xanadu voting common share; and (ii) one minute thereafter, (A) each outstanding Old Xanadu voting common share (including those issued upon conversion of Old Xanadu preferred shares) was transferred to Xanadu in exchange for Class A Multiple Voting Shares, and (B) each outstanding Old Xanadu non-voting common share was transferred to Xanadu in exchange for Class B Subordinate Voting Shares, in each case, in a number equal to the Exchange Ratio (as defined in the plan of arrangement with respect to the Business Combination (the “Plan of Arrangement”)), with no fractional Xanadu shares issued.</w:t>
      </w:r>
    </w:p>
    <w:p>
      <w:pPr>
        <w:spacing w:after="0" w:line="187"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minute after the foregoing, (i) each option to acquire an Old Xanadu voting common share outstanding immediately prior to the Arrangement Effective Time (as defined in the Plan of Arrangement) (whether vested or unvested and notwithstanding the terms of any Old Xanadu equity incentive plan) was exchanged for options to acquire Class A Multiple Voting Shares and, (ii) each option to acquire an Old Xanadu non-voting common share outstanding immediately prior to the Arrangement Effective Time (whether vested or unvested and notwithstanding the terms of any Old Xanadu equity incentive plan) was exchanged for options to acquire Xanadu Class B Subordinate Voting Shares.</w:t>
      </w:r>
    </w:p>
    <w:p>
      <w:pPr>
        <w:spacing w:after="0" w:line="18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minute after the foregoing, (i) the SFTrust Warrants (as defined in the Plan of Arrangement) outstanding immediately prior to the Arrangement Effective Time were exchanged for warrants to purchase Class A Multiple Voting Shares and, (ii) the RBC Warrant (as defined in the Plan of Arrangement) outstanding immediately prior to the Arrangement Effective Time were exchanged for warrants to purchase Class B Subordinate Voting Shares.</w:t>
      </w:r>
    </w:p>
    <w:p>
      <w:pPr>
        <w:spacing w:after="0" w:line="17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19,428,395 SPAC Class A common shares exercised their right to redeem such shares for a pro rata portion of SPAC’s trust account, resulting in aggregate redemption payments of approximately $201,154 ($10.35 per share) out of approximately $227,800 in the SPAC trust account at the time. After redemptions, 3,211,605 SPAC Class A shares remained outstanding and were exchanged for Class B Subordinate Voting Shares.</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closing of the Business Combination, Xanadu issued 27,500,000 Class B Subordinate Voting Shares to certain institutional and accredited investors at $10.00 per share for aggregate gross proceeds of $275,000 pursuant to subscription agreements entered into in connection with the Business Combination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Subsequent events: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contingent on the issuance of the Class B Subordinate Voting Shares, Old Xanadu has commitments of up to $28,950 of fees associated with the closing of the equity raise.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27, 2026, in connection with the closing of the Business Combination, Xanadu was listed on Nasdaq and the TSX under the symbol “XNDU”.</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accounting purposes, the Business Combination will be accounted for as a reverse recapitalization whereby Old Xanadu will be treated as the accounting acquirer and SPAC will be treated as the acquired company. Xanadu is the legal parent and is not considered to be the accounting acquirer or acquiree in the Business Combination in accordance with U.S. GAAP.</w:t>
      </w:r>
    </w:p>
    <w:p>
      <w:pPr>
        <w:spacing w:after="0" w:line="176" w:lineRule="exact"/>
        <w:rPr>
          <w:sz w:val="20"/>
          <w:szCs w:val="20"/>
          <w:color w:val="auto"/>
        </w:rPr>
      </w:pPr>
    </w:p>
    <w:p>
      <w:pPr>
        <w:jc w:val="both"/>
        <w:ind w:left="660" w:hanging="328"/>
        <w:spacing w:after="0" w:line="261"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Old Xanadu undertook a pre-closing reorganization. Pursuant to the pre-closing reorganization, Old Xanadu (among other things) transferred certain intangible assets of Old Xanadu to a wholly-owned subsidiary of Old Xanadu, resulting in an increase in the capital dividend account of Old Xanadu. The benefits of the capital dividend account were determined and allocated to certain Old Xanadu shareholders, as determined by the Old Xanadu Board.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30, 2026, the holder of the outstanding SFTrust Warrants elected to settle the instruments through a cashless net exercise feature. Per the terms of the warrant agreement, the holder surrendered 2,447 warrants to cover the aggregate exercise price, resulting in the issuance of 517,527 Class A Multiple Voting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9" w:name="page260"/>
    <w:bookmarkEnd w:id="259"/>
    <w:p>
      <w:pPr>
        <w:ind w:left="314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the Province of Ontario, Canada, and are governed by the OBCA. In accordance with the OBCA and pursuant to the By-laws, subject to certain conditions, we shall, subject to the limitations contained in the OBCA, indemnify our directors and officers, any former director or officer, or any other individual who acts or acted at our request as a director or officer, or an individual acting in a similar capacity, of another entity, against all costs, charges and expenses, including any amount paid to settle an action or satisfy a judgment, reasonably incurred by such individual in respect of any civil, criminal, administrative, investigative or other proceeding in which such individual is involved because of such association with our Company or other entity, if such individual:</w:t>
      </w:r>
    </w:p>
    <w:p>
      <w:pPr>
        <w:spacing w:after="0" w:line="187" w:lineRule="exact"/>
        <w:rPr>
          <w:sz w:val="20"/>
          <w:szCs w:val="20"/>
          <w:color w:val="auto"/>
        </w:rPr>
      </w:pPr>
    </w:p>
    <w:p>
      <w:pPr>
        <w:ind w:left="660" w:right="20" w:hanging="328"/>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honestly and in good faith with a view to our best interests, or, as the case may be, the best interests of the other entity for which such individual acted as a director or officer or in a similar capacity at our request;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administration action or proceeding enforced by a monetary penalty, had reasonable grounds to believe the conduct was lawful.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our By-laws, we shall also indemnify such individual in other circumstances as the OBCA permits or requires.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we may purchase and maintain insurance for the benefit of any indemnified individual against such liabilities, in such amounts as our board of directors may from time to time determine and as permitted by the OBCA. We currently carry insurance policies insuring our directors and officers against certain liabilities that they may incur in their capacity as directors and officers.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we have entered into an indemnity agreement with each of our current directors and officers, and intend to enter into an indemnity agreement with each of our future directors and officers, whereby we have agreed or will agree to indemnify such directors and officers against all expenses and liabilities incurred in such capacity to the fullest extent permitted by law, subject to limited exceptions.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SEC Position</w:t>
      </w:r>
      <w:r>
        <w:rPr>
          <w:rFonts w:ascii="Times New Roman" w:cs="Times New Roman" w:eastAsia="Times New Roman" w:hAnsi="Times New Roman"/>
          <w:sz w:val="18"/>
          <w:szCs w:val="18"/>
          <w:color w:val="auto"/>
        </w:rPr>
        <w:t>. Insofar as indemnification for liabilities arising under the Securities Act may be permitted to directors, officers or persons 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pursuant to the foregoing provisions, the Company has been informed that in the opinion of the SEC such indemnification is against public policy as expressed in the Securities Act and is therefore unenforceable.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in reliance on Regulation D under the Securities Act or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the Closing Date and pursuant to the Plan of Arrangement, among other things, (i) each then issued and outstanding Old Xanadu Preferred Share held by a holder of Old Xanadu Preferred Shares was converted into and exchanged for one Old Xanadu Voting Common Share; (ii) each then issued and outstanding Old Xanadu Voting Common Share held by a holder of Old Xanadu Voting Common Shares was transferred to us in consideration for that number of Class A Multiple Voting Shares equal to the exchange ratio specified in the Plan of Arrangement (the “Exchange Ratio”); (iii) each then issued and outstanding Old Xanadu Non-Voting Common Share held by a holder of Old Xanadu Non-Voting Common Shares was transferred to us in consideration for that number of Class B Subordinate Voting Shares equal to the Exchange Ratio; (iv) each Old Xanadu Voting Option then outstanding was exchanged for an option to purchase Class A Multiple Voting Shares equal to the Exchange Ratio (v) each then outstanding Old Xanadu Non-Voting Option was exchanged for an option to purchase Class B Subordinate Voting Shares equal to the Exchange Ratio; and (vi) each then outstanding SFTrust Warrant was exchanged for an MVS Warrant to purchase Class A Multiple Voting Shares equal to the Exchange Ratio and each then outstanding RBC Warrant was exchanged for a SVS Warrant to purchase Class B Subordinate Voting Shares equal to the Exchange Ratio.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0" w:name="page261"/>
    <w:bookmarkEnd w:id="26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share counts presented in this subsection before the closing of the Business Combination are presented prior to the application of the Exchange Ratio.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Multiple Voting Shares and Class B Subordinate Voting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 2025, Xanadu issued one common share to Christian Weedbrook at a price of C$1.00 per common share in connection with the incorporation of Xanadu. In connection with the amendment of Xanadu’s articles on March 12, 2026 to create the existing capital structure, Christian Weedbrook’s common share was converted into one Class A Multiple Voting Share.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30, 2026, we issued a total of 517,527 Class A Multiple Voting Shares to existing shareholders upon the cashless exercise of outstanding warrants.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21, 2026, Xanadu issued 100,000 Class B Subordinate Voting Shares to Cohen &amp; Company Securities, LLC as a discretionary fee in connection with services Cohen provided pursuant to an engagement letter (as amended) entered into in connection with the Business Combination. The Company received no proceeds from the issuance of these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23, 2023, Old Xanadu issued warrants to purchase 13,999 Old Xanadu Non-Voting Shares to Royal Bank of Canada, with an exercise price per security of C$12.94, which is presented prior to the application of the Exchange Ratio.</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26, 2026, we issued a total of 247,809 warrants to purchase Class A Multiple Voting Shares to existing shareholders in exchange for warrants to purchase Old Xanadu Voting Common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26, 2026, we issued a total of 134,550 warrants to purchase Class A Multiple Voting Shares to existing shareholders in exchange for warrants to purchase Old Xanadu Voting Common Share.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26, 2026, we issued a total of 135,168 warrants to purchase Class A Multiple Voting Shares to existing shareholders in exchange for warrants to purchase Old Xanadu Voting Common Share.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March 26, 2026, we issued a total of 157,960 warrants to purchase Class B Subordinate Voting Shares to existing shareholders in exchange for warrants to purchase Old Xanadu Non-Voting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closing of the Business Combination, we granted to certain directors, officers and employees on various dates (i) 289,011 Old Xanadu Voting Options which were exchanged for options to purchase an aggregate of 3,261,109 Class A Multiple Voting Shares and (ii) 3,908,254 Old Xanadu Non-Voting Options which were exchanged for options to purchase an aggregate of 44,099,371 Class B Subordinate Voting Shares and for their past and future services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Xanadu entered into subscription agreements with certain institutional and individual accredited investors, pursuant to which, subject to the consummation of the Business Combination, such investors agreed to subscribe for and purchase, and Xanadu agreed to issue and sell, Class B Subordinate Voting Shares at a purchase price of $10.00 per share for aggregate gross proceeds of approximately $275 million. The PIPE Financing closed on March 26,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Statements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tc>
        <w:tc>
          <w:tcPr>
            <w:tcW w:w="3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4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Business Combination Agreement, dated November 3, 2025, by and among Crane Harbor Acquisition Corp., Xanadu Quantum</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Technologies Limited and Xanadu Quantum Technologies Inc. (incorporated by reference to Exhibit 2.1 to Xanadu Quantum Technologies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Limited’s Registration Statement on Form F-4 (File No. 333-292991) filed with the SEC on February 27, 2026).</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Articles of Incorporation of Xanadu Quantum Technologies Limited, as amended, March 12, 2026 (incorporated by reference to Exhibit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Xanadu Quantum Technologies Limited’s Shell Company Report on Form 20-F, filed with the SEC on April 1,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General By-laws of Xanadu Quantum Technologies Limited, dated March 11, 2026 (incorporated by reference to Exhibit 1.2 to Xanadu</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0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Quantum Technologies Limited’s Shell Company Report on Form 20-F, filed with the SEC on April 1, 2026).</w:t>
              </w:r>
            </w:hyperlink>
          </w:p>
        </w:tc>
        <w:tc>
          <w:tcPr>
            <w:tcW w:w="2200" w:type="dxa"/>
            <w:vAlign w:val="bottom"/>
            <w:tcBorders>
              <w:bottom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Warrant to Purchase Class B Subordinate Voting Shares, dated March 26, 2026 (incorporated by reference to Exhibit 2.2 to Xanadu</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Quantum Technologies Limited’s Shell Company Report on Form 20-F, filed with the SEC on April 1,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Investor and Registration Rights Agreement, dated March 26, 2026, by and among Xanadu Quantum Technologies Limited, Crane Harbor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Sponsor, LLC and the other parties listed in Schedule A thereto (incorporated by reference to Exhibit 2.3 to Xanadu Quantum Technologies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18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Limited’s Shell Company Report on Form 20-F, filed with the SEC on April 1, 2026).</w:t>
              </w:r>
            </w:hyperlink>
          </w:p>
        </w:tc>
        <w:tc>
          <w:tcPr>
            <w:tcW w:w="3920" w:type="dxa"/>
            <w:vAlign w:val="bottom"/>
            <w:tcBorders>
              <w:bottom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Form of Subscription Agreement (Institutional) (incorporated by reference to Exhibit 10.7 of Xanadu Quantum Technologies Limited’s</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Registration Statement on Form F-4 (File No. 333-292991) filed with the SEC on February 27,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Form of Subscription Agreement (Individual) (incorporated by reference to Exhibit 10.8 of Xanadu Quantum Technologies Limited’s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Registration Statement on Form F-4 (File No. 333-292991) filed with the SEC on February 27, 2026).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tcPr>
          <w:p>
            <w:pPr>
              <w:spacing w:after="0"/>
              <w:rPr>
                <w:sz w:val="15"/>
                <w:szCs w:val="15"/>
                <w:color w:val="auto"/>
              </w:rPr>
            </w:pPr>
          </w:p>
        </w:tc>
        <w:tc>
          <w:tcPr>
            <w:tcW w:w="734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Opinion of Osler, Hoskin &amp; Harcourt LLP.</w:t>
            </w:r>
          </w:p>
        </w:tc>
        <w:tc>
          <w:tcPr>
            <w:tcW w:w="2760" w:type="dxa"/>
            <w:vAlign w:val="bottom"/>
            <w:tcBorders>
              <w:top w:val="single" w:sz="8" w:color="CCEE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Agreement, dated January 20, 2023, between His Majesty the King in Right of Canada, as represented by the Minister of Industry,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Xanadu Quantum Technologies Inc. (incorporated by reference to Exhibit 10.16 to Xanadu Quantum Technologies Limited’s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Statement on Form F-4 (File No. 333-292991) filed with the SEC on February 27, 2026).</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13"/>
          </w:tcPr>
          <w:p>
            <w:pPr>
              <w:spacing w:after="0" w:line="17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Amendment Agreement No. 1 to Agreement, dated September 10, 2025, between His Majesty the King in Right of Canada, as represented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by the Minister of Industry, and Xanadu Quantum Technologies Inc. (incorporated by reference to Exhibit 10.17 to Xanadu Quantum</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Technologies Limited’s Registration Statement on Form F-4 (File No. 333-292991) filed with the SEC on February 27,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Sponsor Letter Agreement, dated as of November 3, 2025, by and among Crane Harbor Acquisition Corp., Xanadu Quantum Technologies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Limited, Xanadu Quantum Technologies Inc. and Crane Harbor Sponsor, LLC (incorporated by reference to Exhibit 10.3 of Crane Harbor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Acquisition Corp.’s Current Report on Form 8-K, filed with the SEC on November 3,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Coattail Agreement, dated March 26, 2026, by and among Xanadu Quantum Technologies Limited, Computershare Trust Company of</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Canada, and the parties thereto (incorporated by reference to Exhibit 4.8 to Xanadu Quantum Technologies Limited’s Shell Company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Report on Form 20-F, filed with the SEC on April 1,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Form of Indemnification Agreement between Xanadu Quantum Technologies Limited and each of its directors and executive officers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(incorporated by reference to Exhibit 10.18 to Xanadu Quantum Technologies Limited’s Registration Statement on Form F-4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292991) filed with the SEC on February 27,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Xanadu Quantum Technologies Limited Omnibus Plan and related form agreements (incorporated by reference to Exhibit 4.10 to Xanadu</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90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291">
              <w:r>
                <w:rPr>
                  <w:rFonts w:ascii="Times New Roman" w:cs="Times New Roman" w:eastAsia="Times New Roman" w:hAnsi="Times New Roman"/>
                  <w:sz w:val="18"/>
                  <w:szCs w:val="18"/>
                  <w:color w:val="0000EE"/>
                  <w:w w:val="99"/>
                </w:rPr>
                <w:t>Quantum Technologies Limited’s Shell Company Report on Form 20-F, filed with the SEC on April 1, 2026).</w:t>
              </w:r>
            </w:hyperlink>
          </w:p>
        </w:tc>
        <w:tc>
          <w:tcPr>
            <w:tcW w:w="220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Offer Letter of Christian Weedbrook, dated April 12, 2017 (incorporated by reference to Exhibit 10.19 to Xanadu Quantum Technologies</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Limited’s Registration Statement on Form F-4 (File No. 333-292991) filed with the SEC on February 27, 2026).</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Offer Letter of Rafal Janik, dated March 25, 2019 (incorporated by reference to Exhibit 10.20 to Xanadu Quantum Technologies Limited’s</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Registration Statement on Form F-4 (File No. 333-292991) filed with the SEC on February 27, 2026).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Offer Letter of Rebecca Laramée, dated January 17, 2020 (incorporated by reference to Exhibit 10.21 to Xanadu Quantum Technologies</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Limited’s Registration Statement on Form F-4 (File No. 333-292991) filed with the SEC on February 27, 2026).</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Employment Agreement of Natalie Wilmore, dated November 6, 2025 (incorporated by reference to Exhibit 10.22 to Xanadu Quantum</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Technologies Limited’s Registration Statement on Form F-4 (File No. 333-292991) filed with the SEC on February 27, 2026).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Employment Agreement of Michael Trzupek, dated December 28, 2025 (incorporated by reference to Exhibit 10.23 to Xanadu Quantum</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Technologies Limited’s Registration Statement on Form F-4 (File No. 333-292991) filed with the SEC on February 27, 2026).</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Standby Equity Purchase Agreement, dated May 20, 2026 between Xanadu Quantum Technologies Limited and YA II PN, LTD</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(incorporated by reference to Exhibit 10.1 of Xanadu Quantum Technologies Limited’s Current Report on Form 6-K filed on May 21,</w:t>
              </w:r>
            </w:hyperlink>
          </w:p>
        </w:tc>
      </w:tr>
      <w:tr>
        <w:trPr>
          <w:trHeight w:val="196"/>
        </w:trPr>
        <w:tc>
          <w:tcPr>
            <w:tcW w:w="1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2026).</w:t>
              </w:r>
            </w:hyperlink>
          </w:p>
        </w:tc>
        <w:tc>
          <w:tcPr>
            <w:tcW w:w="10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List of subsidiaries of Xanadu Quantum Technologies Limited (incorporated by reference to Exhibit 8.1 to Xanadu Quantum Technologies</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Limited’s Shell Company Report on Form 20-F, filed with the SEC on April 1, 2026).</w:t>
              </w:r>
            </w:hyperlink>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KPMG LLP, independent registered public accounting firm of Xanadu Quantum Technologies Limited and Xanadu Quantum</w:t>
            </w: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Technologies Inc.</w:t>
            </w:r>
          </w:p>
        </w:tc>
        <w:tc>
          <w:tcPr>
            <w:tcW w:w="8800" w:type="dxa"/>
            <w:vAlign w:val="bottom"/>
            <w:tcBorders>
              <w:top w:val="single" w:sz="8" w:color="0000EE"/>
              <w:bottom w:val="single" w:sz="8" w:color="CCEEFF"/>
            </w:tcBorders>
            <w:gridSpan w:val="8"/>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Consent of Osler, Hoskin &amp; Harcourt LLP (included in Exhibit 5.1).</w:t>
            </w: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56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in Signature Page to this Registration Statement).</w:t>
            </w:r>
          </w:p>
        </w:tc>
        <w:tc>
          <w:tcPr>
            <w:tcW w:w="4420" w:type="dxa"/>
            <w:vAlign w:val="bottom"/>
            <w:tcBorders>
              <w:bottom w:val="single" w:sz="8" w:color="CCEEFF"/>
            </w:tcBorders>
            <w:gridSpan w:val="7"/>
            <w:shd w:val="clear" w:color="auto" w:fill="CCEEFF"/>
          </w:tcPr>
          <w:p>
            <w:pPr>
              <w:spacing w:after="0"/>
              <w:rPr>
                <w:sz w:val="17"/>
                <w:szCs w:val="17"/>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601(b)(2)(ii) of the Securities Act of 1934, as amended, certain confidential portions of this exhibit and the schedules to this exhibit have been omitted from the publicly filed document. The Registrant agrees to furnish a supplemental copy of any omitted schedule or similar attachment to the Securities and Exchange Commission upon its request.</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601(b)(10)(iv) of the Securities Act of 1934, as amended, certain confidential portions of this exhibit have been redacted from the publicly filed document. The Registrant agrees to furnish a supplemental copy of any omitted schedule or similar attachment to the Securities and Exchange Commission upon its request.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1300" w:hanging="644"/>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as amended,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4" w:name="page265"/>
    <w:bookmarkEnd w:id="264"/>
    <w:p>
      <w:pPr>
        <w:jc w:val="both"/>
        <w:ind w:left="1300" w:hanging="644"/>
        <w:spacing w:after="0" w:line="258"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as amended,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Toronto, Ontario, on May 21,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Christian Weedbrook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Christian Weedbrook</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Christian Weedbrook and Michael Trzupek, and each one of them, as his or her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Christian Weedbrook</w:t>
            </w:r>
          </w:p>
        </w:tc>
        <w:tc>
          <w:tcPr>
            <w:tcW w:w="12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Christian Weedbrook</w:t>
            </w:r>
          </w:p>
        </w:tc>
        <w:tc>
          <w:tcPr>
            <w:tcW w:w="120" w:type="dxa"/>
            <w:vAlign w:val="bottom"/>
          </w:tcPr>
          <w:p>
            <w:pPr>
              <w:spacing w:after="0"/>
              <w:rPr>
                <w:sz w:val="20"/>
                <w:szCs w:val="20"/>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Trzupek</w:t>
            </w:r>
          </w:p>
        </w:tc>
        <w:tc>
          <w:tcPr>
            <w:tcW w:w="12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184"/>
        </w:trPr>
        <w:tc>
          <w:tcPr>
            <w:tcW w:w="38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Michael Trzupek</w:t>
            </w:r>
          </w:p>
        </w:tc>
        <w:tc>
          <w:tcPr>
            <w:tcW w:w="120" w:type="dxa"/>
            <w:vAlign w:val="bottom"/>
          </w:tcPr>
          <w:p>
            <w:pPr>
              <w:spacing w:after="0"/>
              <w:rPr>
                <w:sz w:val="16"/>
                <w:szCs w:val="16"/>
                <w:color w:val="auto"/>
              </w:rPr>
            </w:pPr>
          </w:p>
        </w:tc>
        <w:tc>
          <w:tcPr>
            <w:tcW w:w="37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3600" w:type="dxa"/>
            <w:vAlign w:val="bottom"/>
          </w:tcPr>
          <w:p>
            <w:pPr>
              <w:spacing w:after="0"/>
              <w:rPr>
                <w:sz w:val="16"/>
                <w:szCs w:val="16"/>
                <w:color w:val="auto"/>
              </w:rPr>
            </w:pP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600" w:type="dxa"/>
            <w:vAlign w:val="bottom"/>
          </w:tcPr>
          <w:p>
            <w:pPr>
              <w:spacing w:after="0"/>
              <w:rPr>
                <w:sz w:val="20"/>
                <w:szCs w:val="20"/>
                <w:color w:val="auto"/>
              </w:rPr>
            </w:pPr>
          </w:p>
        </w:tc>
      </w:tr>
      <w:tr>
        <w:trPr>
          <w:trHeight w:val="43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Glenda Dorchak</w:t>
            </w:r>
          </w:p>
        </w:tc>
        <w:tc>
          <w:tcPr>
            <w:tcW w:w="12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Glenda Dorchak</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I. Fradin</w:t>
            </w:r>
          </w:p>
        </w:tc>
        <w:tc>
          <w:tcPr>
            <w:tcW w:w="12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William I. Fradin</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Eliot Pence</w:t>
            </w:r>
          </w:p>
        </w:tc>
        <w:tc>
          <w:tcPr>
            <w:tcW w:w="12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Eliot Pence</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Reynolds</w:t>
            </w:r>
          </w:p>
        </w:tc>
        <w:tc>
          <w:tcPr>
            <w:tcW w:w="12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Michelle Reynolds</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Heidi Shyu</w:t>
            </w:r>
          </w:p>
        </w:tc>
        <w:tc>
          <w:tcPr>
            <w:tcW w:w="12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Heidi Shyu</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6" w:name="page267"/>
    <w:bookmarkEnd w:id="2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REPRESENTATIVE IN THE UNITED STATES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Xanadu Quantum Technologies Limited has duly caused this registration statement to be signed by the following duly authorized representative in the United States on May 21, 2026.</w:t>
      </w:r>
    </w:p>
    <w:p>
      <w:pPr>
        <w:spacing w:after="0" w:line="16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Michael Trzupek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Michael Trzupek</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175895</wp:posOffset>
            </wp:positionV>
            <wp:extent cx="1062990" cy="3086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1062990" cy="30861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-111760</wp:posOffset>
            </wp:positionV>
            <wp:extent cx="325755" cy="14401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325755" cy="144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Dial: 416.862.6647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Matter Number: 1282719</w:t>
      </w:r>
    </w:p>
    <w:p>
      <w:pPr>
        <w:spacing w:after="0" w:line="200" w:lineRule="exact"/>
        <w:rPr>
          <w:sz w:val="20"/>
          <w:szCs w:val="20"/>
          <w:color w:val="auto"/>
        </w:rPr>
      </w:pPr>
    </w:p>
    <w:p>
      <w:pPr>
        <w:sectPr>
          <w:pgSz w:w="11900" w:h="16838" w:orient="portrait"/>
          <w:cols w:equalWidth="0" w:num="2">
            <w:col w:w="5260" w:space="720"/>
            <w:col w:w="4140"/>
          </w:cols>
          <w:pgMar w:left="1440" w:top="108" w:right="339" w:bottom="1440" w:gutter="0" w:footer="0" w:header="0"/>
          <w:type w:val="continuous"/>
        </w:sectPr>
      </w:pP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Xanadu Quantum Technologies Limited</w:t>
      </w:r>
    </w:p>
    <w:p>
      <w:pPr>
        <w:spacing w:after="0" w:line="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777 Bay Street, Suite 2400</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Toronto, Ontario</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M5G 2C8</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Dear Sirs/Mesdames:</w:t>
      </w:r>
    </w:p>
    <w:p>
      <w:pPr>
        <w:sectPr>
          <w:pgSz w:w="11900" w:h="16838" w:orient="portrait"/>
          <w:cols w:equalWidth="0" w:num="1">
            <w:col w:w="10120"/>
          </w:cols>
          <w:pgMar w:left="1440" w:top="108" w:right="339" w:bottom="1440" w:gutter="0" w:footer="0" w:header="0"/>
          <w:type w:val="continuous"/>
        </w:sectPr>
      </w:pP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 Registration Statement on Form F-1</w:t>
      </w:r>
    </w:p>
    <w:p>
      <w:pPr>
        <w:spacing w:after="0" w:line="252"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We have acted as Canadian counsel for Xanadu Quantum Technologies Limited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a corporation incorporated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in connection with the filing of a Registration Statement on Form F-1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including the prospectus forming a part of the Registration Statement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covering the resale by certain selling securityholders of:</w:t>
      </w:r>
    </w:p>
    <w:p>
      <w:pPr>
        <w:spacing w:after="0" w:line="176" w:lineRule="exact"/>
        <w:rPr>
          <w:sz w:val="20"/>
          <w:szCs w:val="20"/>
          <w:color w:val="auto"/>
        </w:rPr>
      </w:pPr>
    </w:p>
    <w:p>
      <w:pPr>
        <w:jc w:val="both"/>
        <w:ind w:left="1160" w:hanging="328"/>
        <w:spacing w:after="0" w:line="268" w:lineRule="auto"/>
        <w:tabs>
          <w:tab w:leader="none" w:pos="11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30,000,000 class B subordinate voting shares, without par value (“</w:t>
      </w:r>
      <w:r>
        <w:rPr>
          <w:rFonts w:ascii="Times New Roman" w:cs="Times New Roman" w:eastAsia="Times New Roman" w:hAnsi="Times New Roman"/>
          <w:sz w:val="18"/>
          <w:szCs w:val="18"/>
          <w:b w:val="1"/>
          <w:bCs w:val="1"/>
          <w:color w:val="auto"/>
        </w:rPr>
        <w:t>Class B Subordinate Voting Shares</w:t>
      </w:r>
      <w:r>
        <w:rPr>
          <w:rFonts w:ascii="Times New Roman" w:cs="Times New Roman" w:eastAsia="Times New Roman" w:hAnsi="Times New Roman"/>
          <w:sz w:val="18"/>
          <w:szCs w:val="18"/>
          <w:color w:val="auto"/>
        </w:rPr>
        <w:t>”) to be issued and sold pursuant to a standby equity purchase agreement dated May 20, 2026, by and between the Corporation and YA II PN, LTD.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and such Class B Subordinate Voting Shares, the “</w:t>
      </w:r>
      <w:r>
        <w:rPr>
          <w:rFonts w:ascii="Times New Roman" w:cs="Times New Roman" w:eastAsia="Times New Roman" w:hAnsi="Times New Roman"/>
          <w:sz w:val="18"/>
          <w:szCs w:val="18"/>
          <w:b w:val="1"/>
          <w:bCs w:val="1"/>
          <w:color w:val="auto"/>
        </w:rPr>
        <w:t>Advance Shares</w:t>
      </w:r>
      <w:r>
        <w:rPr>
          <w:rFonts w:ascii="Times New Roman" w:cs="Times New Roman" w:eastAsia="Times New Roman" w:hAnsi="Times New Roman"/>
          <w:sz w:val="18"/>
          <w:szCs w:val="18"/>
          <w:color w:val="auto"/>
        </w:rPr>
        <w:t>”); and</w:t>
      </w:r>
    </w:p>
    <w:p>
      <w:pPr>
        <w:spacing w:after="0" w:line="174" w:lineRule="exact"/>
        <w:rPr>
          <w:rFonts w:ascii="Times New Roman" w:cs="Times New Roman" w:eastAsia="Times New Roman" w:hAnsi="Times New Roman"/>
          <w:sz w:val="18"/>
          <w:szCs w:val="18"/>
          <w:color w:val="auto"/>
        </w:rPr>
      </w:pPr>
    </w:p>
    <w:p>
      <w:pPr>
        <w:jc w:val="both"/>
        <w:ind w:left="1160" w:hanging="328"/>
        <w:spacing w:after="0" w:line="266" w:lineRule="auto"/>
        <w:tabs>
          <w:tab w:leader="none" w:pos="11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100,000 Class B Subordinate Voting Shares issued in connection with an engagement letter dated August 21, 2025 and amended October 2, 2025 (the “</w:t>
      </w:r>
      <w:r>
        <w:rPr>
          <w:rFonts w:ascii="Times New Roman" w:cs="Times New Roman" w:eastAsia="Times New Roman" w:hAnsi="Times New Roman"/>
          <w:sz w:val="18"/>
          <w:szCs w:val="18"/>
          <w:b w:val="1"/>
          <w:bCs w:val="1"/>
          <w:color w:val="auto"/>
        </w:rPr>
        <w:t>Cohen Engagement Letter</w:t>
      </w:r>
      <w:r>
        <w:rPr>
          <w:rFonts w:ascii="Times New Roman" w:cs="Times New Roman" w:eastAsia="Times New Roman" w:hAnsi="Times New Roman"/>
          <w:sz w:val="18"/>
          <w:szCs w:val="18"/>
          <w:color w:val="auto"/>
        </w:rPr>
        <w:t>”) between Xanadu Quantum Technologies Inc. (a subsidiary of the Corporation) and Cohen &amp; Company Securities, LLC (the “</w:t>
      </w:r>
      <w:r>
        <w:rPr>
          <w:rFonts w:ascii="Times New Roman" w:cs="Times New Roman" w:eastAsia="Times New Roman" w:hAnsi="Times New Roman"/>
          <w:sz w:val="18"/>
          <w:szCs w:val="18"/>
          <w:b w:val="1"/>
          <w:bCs w:val="1"/>
          <w:color w:val="auto"/>
        </w:rPr>
        <w:t>Cohen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Any terms used in this opinion that are not otherwise defined herein have the meanings ascribed to them in the Registration Statement.</w:t>
      </w:r>
    </w:p>
    <w:p>
      <w:pPr>
        <w:spacing w:after="0" w:line="221" w:lineRule="exact"/>
        <w:rPr>
          <w:sz w:val="20"/>
          <w:szCs w:val="20"/>
          <w:color w:val="auto"/>
        </w:rPr>
      </w:pPr>
    </w:p>
    <w:p>
      <w:pPr>
        <w:ind w:left="840" w:hanging="656"/>
        <w:spacing w:after="0"/>
        <w:tabs>
          <w:tab w:leader="none" w:pos="84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Materials Reviewed</w:t>
      </w:r>
    </w:p>
    <w:p>
      <w:pPr>
        <w:spacing w:after="0" w:line="229"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For the purpose of the opinions hereinafter expressed, in our capacity as local counsel for the Corporation as aforesaid, we have examined originals or copies, certified or otherwise identified to our satisfaction, of such public records, certificates, documents and other materials as we have considered relevant, necessary or advisable, including without limitation, the following documents:</w:t>
      </w:r>
    </w:p>
    <w:p>
      <w:pPr>
        <w:spacing w:after="0" w:line="176" w:lineRule="exact"/>
        <w:rPr>
          <w:sz w:val="20"/>
          <w:szCs w:val="20"/>
          <w:color w:val="auto"/>
        </w:rPr>
      </w:pPr>
    </w:p>
    <w:p>
      <w:pPr>
        <w:ind w:left="1160" w:hanging="328"/>
        <w:spacing w:after="0"/>
        <w:tabs>
          <w:tab w:leader="none" w:pos="11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(including the Prospectus and any annexes and exhibits thereto);</w:t>
      </w:r>
    </w:p>
    <w:p>
      <w:pPr>
        <w:spacing w:after="0" w:line="225"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type w:val="continuous"/>
        </w:sectPr>
      </w:pPr>
    </w:p>
    <w:bookmarkStart w:id="268" w:name="page269"/>
    <w:bookmarkEnd w:id="268"/>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6277610</wp:posOffset>
            </wp:positionH>
            <wp:positionV relativeFrom="page">
              <wp:posOffset>586105</wp:posOffset>
            </wp:positionV>
            <wp:extent cx="1062990" cy="3086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08610"/>
                    </a:xfrm>
                    <a:prstGeom prst="rect">
                      <a:avLst/>
                    </a:prstGeom>
                    <a:noFill/>
                  </pic:spPr>
                </pic:pic>
              </a:graphicData>
            </a:graphic>
          </wp:anchor>
        </w:drawing>
      </w:r>
    </w:p>
    <w:p>
      <w:pPr>
        <w:ind w:left="1160" w:hanging="328"/>
        <w:spacing w:after="0"/>
        <w:tabs>
          <w:tab w:leader="none" w:pos="11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Cohen Engagement Letter;</w:t>
      </w:r>
    </w:p>
    <w:p>
      <w:pPr>
        <w:spacing w:after="0" w:line="225"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and articles of the Corporation; and</w:t>
      </w:r>
    </w:p>
    <w:p>
      <w:pPr>
        <w:spacing w:after="0" w:line="225"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Corporation.</w:t>
      </w:r>
    </w:p>
    <w:p>
      <w:pPr>
        <w:spacing w:after="0" w:line="225"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public and corporate records, certificates, instruments and other documents and have considered such questions of law as we have deemed relevant and necessary as a basis for the opinions hereinafter expressed below.</w:t>
      </w:r>
    </w:p>
    <w:p>
      <w:pPr>
        <w:spacing w:after="0" w:line="172" w:lineRule="exact"/>
        <w:rPr>
          <w:sz w:val="20"/>
          <w:szCs w:val="20"/>
          <w:color w:val="auto"/>
        </w:rPr>
      </w:pPr>
    </w:p>
    <w:p>
      <w:pPr>
        <w:ind w:left="840" w:hanging="656"/>
        <w:spacing w:after="0"/>
        <w:tabs>
          <w:tab w:leader="none" w:pos="8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 and Reliances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have assumed:</w:t>
      </w:r>
    </w:p>
    <w:p>
      <w:pPr>
        <w:spacing w:after="0" w:line="225" w:lineRule="exact"/>
        <w:rPr>
          <w:sz w:val="20"/>
          <w:szCs w:val="20"/>
          <w:color w:val="auto"/>
        </w:rPr>
      </w:pPr>
    </w:p>
    <w:p>
      <w:pPr>
        <w:ind w:left="1160" w:hanging="328"/>
        <w:spacing w:after="0"/>
        <w:tabs>
          <w:tab w:leader="none" w:pos="11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all documents examined by us and the legal capacity of all natural persons;</w:t>
      </w:r>
    </w:p>
    <w:p>
      <w:pPr>
        <w:spacing w:after="0" w:line="225"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w:t>
      </w:r>
    </w:p>
    <w:p>
      <w:pPr>
        <w:spacing w:after="0" w:line="225" w:lineRule="exact"/>
        <w:rPr>
          <w:rFonts w:ascii="Times New Roman" w:cs="Times New Roman" w:eastAsia="Times New Roman" w:hAnsi="Times New Roman"/>
          <w:sz w:val="18"/>
          <w:szCs w:val="18"/>
          <w:color w:val="auto"/>
        </w:rPr>
      </w:pPr>
    </w:p>
    <w:p>
      <w:pPr>
        <w:ind w:left="1160" w:hanging="328"/>
        <w:spacing w:after="0" w:line="282" w:lineRule="auto"/>
        <w:tabs>
          <w:tab w:leader="none" w:pos="11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to original documents of all documents submitted to us as copies, whether facsimile, electronic, photostatic, certified or otherwise, and the authenticity of the originals of such copies;</w:t>
      </w:r>
    </w:p>
    <w:p>
      <w:pPr>
        <w:spacing w:after="0" w:line="161" w:lineRule="exact"/>
        <w:rPr>
          <w:rFonts w:ascii="Times New Roman" w:cs="Times New Roman" w:eastAsia="Times New Roman" w:hAnsi="Times New Roman"/>
          <w:sz w:val="18"/>
          <w:szCs w:val="18"/>
          <w:color w:val="auto"/>
        </w:rPr>
      </w:pPr>
    </w:p>
    <w:p>
      <w:pPr>
        <w:jc w:val="both"/>
        <w:ind w:left="1160" w:hanging="328"/>
        <w:spacing w:after="0" w:line="261" w:lineRule="auto"/>
        <w:tabs>
          <w:tab w:leader="none" w:pos="11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currency and completeness of the indices and filing systems maintained at the public offices, registries and websites where we have searched or made inquiries or have caused searches or enquiries to be made and of the information and advice provided to us by appropriate government, regulatory and other like officials with respect to those matters referred to herein; and</w:t>
      </w:r>
    </w:p>
    <w:p>
      <w:pPr>
        <w:spacing w:after="0" w:line="179" w:lineRule="exact"/>
        <w:rPr>
          <w:rFonts w:ascii="Times New Roman" w:cs="Times New Roman" w:eastAsia="Times New Roman" w:hAnsi="Times New Roman"/>
          <w:sz w:val="18"/>
          <w:szCs w:val="18"/>
          <w:color w:val="auto"/>
        </w:rPr>
      </w:pPr>
    </w:p>
    <w:p>
      <w:pPr>
        <w:ind w:left="1160" w:hanging="328"/>
        <w:spacing w:after="0" w:line="282" w:lineRule="auto"/>
        <w:tabs>
          <w:tab w:leader="none" w:pos="11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consideration for the Cohen Shares was paid in past service that is not less in value than the fair value equivalent of the money that such entities would have received if the securities issued by them had been issued for money.</w:t>
      </w:r>
    </w:p>
    <w:p>
      <w:pPr>
        <w:spacing w:after="0" w:line="162" w:lineRule="exact"/>
        <w:rPr>
          <w:sz w:val="20"/>
          <w:szCs w:val="20"/>
          <w:color w:val="auto"/>
        </w:rPr>
      </w:pPr>
    </w:p>
    <w:p>
      <w:pPr>
        <w:ind w:left="180" w:right="20"/>
        <w:spacing w:after="0" w:line="282" w:lineRule="auto"/>
        <w:rPr>
          <w:sz w:val="20"/>
          <w:szCs w:val="20"/>
          <w:color w:val="auto"/>
        </w:rPr>
      </w:pPr>
      <w:r>
        <w:rPr>
          <w:rFonts w:ascii="Times New Roman" w:cs="Times New Roman" w:eastAsia="Times New Roman" w:hAnsi="Times New Roman"/>
          <w:sz w:val="18"/>
          <w:szCs w:val="18"/>
          <w:color w:val="auto"/>
        </w:rPr>
        <w:t>We have relied upon a certificate of an officer of the Corporation with respect to the accuracy and completeness of the factual matters contained therein, which factual matters have not been independently investigated or verified by us.</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69" w:name="page270"/>
    <w:bookmarkEnd w:id="269"/>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6277610</wp:posOffset>
            </wp:positionH>
            <wp:positionV relativeFrom="page">
              <wp:posOffset>586105</wp:posOffset>
            </wp:positionV>
            <wp:extent cx="1062990" cy="3086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08610"/>
                    </a:xfrm>
                    <a:prstGeom prst="rect">
                      <a:avLst/>
                    </a:prstGeom>
                    <a:noFill/>
                  </pic:spPr>
                </pic:pic>
              </a:graphicData>
            </a:graphic>
          </wp:anchor>
        </w:drawing>
      </w:r>
    </w:p>
    <w:p>
      <w:pPr>
        <w:ind w:left="840" w:hanging="656"/>
        <w:spacing w:after="0"/>
        <w:tabs>
          <w:tab w:leader="none" w:pos="84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opinions expressed below are restricted to the laws of the Province of Ontario and the laws of Canada applicable therein.</w:t>
      </w:r>
    </w:p>
    <w:p>
      <w:pPr>
        <w:spacing w:after="0" w:line="221"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ind w:left="180" w:right="20"/>
        <w:spacing w:after="0" w:line="282" w:lineRule="auto"/>
        <w:rPr>
          <w:sz w:val="20"/>
          <w:szCs w:val="20"/>
          <w:color w:val="auto"/>
        </w:rPr>
      </w:pPr>
      <w:r>
        <w:rPr>
          <w:rFonts w:ascii="Times New Roman" w:cs="Times New Roman" w:eastAsia="Times New Roman" w:hAnsi="Times New Roman"/>
          <w:sz w:val="18"/>
          <w:szCs w:val="18"/>
          <w:color w:val="auto"/>
        </w:rPr>
        <w:t>Based upon and relying on the foregoing, and subject to the qualifications hereinafter expressed, we are of the opinion that, on the date hereof:</w:t>
      </w:r>
    </w:p>
    <w:p>
      <w:pPr>
        <w:spacing w:after="0" w:line="162" w:lineRule="exact"/>
        <w:rPr>
          <w:sz w:val="20"/>
          <w:szCs w:val="20"/>
          <w:color w:val="auto"/>
        </w:rPr>
      </w:pPr>
    </w:p>
    <w:p>
      <w:pPr>
        <w:jc w:val="both"/>
        <w:ind w:left="1160" w:hanging="328"/>
        <w:spacing w:after="0" w:line="261" w:lineRule="auto"/>
        <w:tabs>
          <w:tab w:leader="none" w:pos="11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 Shares to be issued pursuant to the Purchase Agreement in accordance with the terms of the Purchase Agreement have been duly authorized and will, upon payment of the applicable price and issuance in accordance with the terms and conditions of the Purchase Agreement, be validly issued and outstanding as fully paid and non-assessable shares of the Corporation.</w:t>
      </w:r>
    </w:p>
    <w:p>
      <w:pPr>
        <w:spacing w:after="0" w:line="179"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Cohen Shares have been duly authorized and validly issued as fully paid and non-assessable shares of the Corporation.</w:t>
      </w:r>
    </w:p>
    <w:p>
      <w:pPr>
        <w:spacing w:after="0" w:line="221"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7"/>
          <w:szCs w:val="17"/>
          <w:b w:val="1"/>
          <w:bCs w:val="1"/>
          <w:color w:val="auto"/>
        </w:rPr>
        <w:t>Consent and Qualifications</w:t>
      </w:r>
    </w:p>
    <w:p>
      <w:pPr>
        <w:spacing w:after="0" w:line="229"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Prospectus and to the filing of this opinion as an exhibit to the Registration Statement. By the giving of such consent, we do not admit that we are experts with respect to any part of the Registration Statement, or otherwise, within the meaning of the rules and regulations of the Commission. This opinion is furnished for the sole benefit of the Corporation and may not be relied upon by any other person or entity or quoted from or referred to in any documents other than the Registration Statement as provided for herein without our prior written consent.</w:t>
      </w:r>
    </w:p>
    <w:p>
      <w:pPr>
        <w:spacing w:after="0" w:line="183"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opinions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Osler, Hoskin &amp; Harcourt LLP</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 dated April 9, 2026, on:</w:t>
      </w:r>
    </w:p>
    <w:p>
      <w:pPr>
        <w:spacing w:after="0" w:line="225" w:lineRule="exact"/>
        <w:rPr>
          <w:sz w:val="20"/>
          <w:szCs w:val="20"/>
          <w:color w:val="auto"/>
        </w:rPr>
      </w:pPr>
    </w:p>
    <w:p>
      <w:pPr>
        <w:jc w:val="both"/>
        <w:ind w:left="300" w:hanging="292"/>
        <w:spacing w:after="0" w:line="266" w:lineRule="auto"/>
        <w:tabs>
          <w:tab w:leader="none" w:pos="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Xanadu Quantum Technologies Limited, which comprise the balance sheet as of December 31, 2025, the related statements of operations and comprehensive loss, shareholders’ equity and cash flows for the period from October 2, 2025 (Inception) through December 31, 2025, and the related notes; and</w:t>
      </w:r>
    </w:p>
    <w:p>
      <w:pPr>
        <w:spacing w:after="0" w:line="175" w:lineRule="exact"/>
        <w:rPr>
          <w:rFonts w:ascii="Times New Roman" w:cs="Times New Roman" w:eastAsia="Times New Roman" w:hAnsi="Times New Roman"/>
          <w:sz w:val="18"/>
          <w:szCs w:val="18"/>
          <w:color w:val="auto"/>
        </w:rPr>
      </w:pPr>
    </w:p>
    <w:p>
      <w:pPr>
        <w:jc w:val="both"/>
        <w:ind w:left="300" w:hanging="292"/>
        <w:spacing w:after="0" w:line="266" w:lineRule="auto"/>
        <w:tabs>
          <w:tab w:leader="none" w:pos="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Xanadu Quantum Technologies Inc., which comprise the consolidated balance sheets as of December 31, 2025 and December 31, 2024, the related consolidated statements of operations and comprehensive loss, shareholders’ equity and cash flows for each of the years in the three-year period ended December 31, 2025, and the related notes,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which are included herein and to the reference to our firm under the heading “Experts” in the prospectus included in Registration Statement on Form F-1 dated May 21, 2026 of Xanadu Quantum Technologies 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ectPr>
          <w:pgSz w:w="11900" w:h="16838" w:orient="portrait"/>
          <w:cols w:equalWidth="0" w:num="1">
            <w:col w:w="11240"/>
          </w:cols>
          <w:pgMar w:left="320" w:top="117"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Xanadu Quantum Technologies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vMerge w:val="restart"/>
          </w:tcPr>
          <w:p>
            <w:pPr>
              <w:spacing w:after="0"/>
              <w:rPr>
                <w:sz w:val="12"/>
                <w:szCs w:val="12"/>
                <w:color w:val="auto"/>
              </w:rPr>
            </w:pP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77"/>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6"/>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 Voting</w:t>
            </w:r>
          </w:p>
        </w:tc>
        <w:tc>
          <w:tcPr>
            <w:tcW w:w="6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30,100,000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12.05</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$ 362,705,000.00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$ 50,089.57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without par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960" w:type="dxa"/>
            <w:vAlign w:val="bottom"/>
            <w:gridSpan w:val="6"/>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Total Offering Amounts:</w:t>
            </w:r>
          </w:p>
        </w:tc>
        <w:tc>
          <w:tcPr>
            <w:tcW w:w="12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$ 362,705,000.00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50,089.57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$ 50,089.57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4" w:lineRule="auto"/>
        <w:tabs>
          <w:tab w:leader="none" w:pos="3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up to 30,100,000 Class B Subordinate Voting Shares registered for resale by the selling securityholders named in this registration statement, consisting of up to: (i) 30,000,000 subordinate voting shares, without par value (“Class B Subordinate Voting Shares”) by YA II PN, LTD., a Cayman Islands exempt limited partnership (“Yorkville”) that are available to be issued and sold by the registrant to Yorkville, from time to time at the registrant’s election pursuant to a standby equity purchase agreement, dated as of May 20, 2026, between the registrant and Yorkville, subject to satisfaction of the conditions set forth therein, and (ii) 100,000 Class B Subordinate Voting Shares issued to Cohen &amp; Company Securities, LLC in a private placement. Pursuant to Rule 416(a), there are also being registered an indeterminable number of additional securities as may be issued to prevent dilution resulting from share splits, share dividends or similar transactions. Pursuant to Rule 457(c) promulgated under the Securities Act, and solely for the purpose of calculating the registration fee, the proposed aggregate maximum offering price per share is $12.05 (the average of the high and low prices of our Class B Subordinate Voting Shares as reported on Nasdaq on May 19,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1"/>
      <w:numFmt w:val="upperLetter"/>
      <w:start w:val="35"/>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1)"/>
      <w:numFmt w:val="decimal"/>
      <w:start w:val="416"/>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
      <w:numFmt w:val="bullet"/>
      <w:start w:val="1"/>
    </w:lvl>
  </w:abstractNum>
  <w:abstractNum w:abstractNumId="33">
    <w:nsid w:val="415E286C"/>
    <w:multiLevelType w:val="hybridMultilevel"/>
    <w:lvl w:ilvl="0">
      <w:lvlJc w:val="left"/>
      <w:lvlText w:val="●"/>
      <w:numFmt w:val="bullet"/>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1)"/>
      <w:numFmt w:val="lowerRoman"/>
      <w:start w:val="4"/>
    </w:lvl>
  </w:abstractNum>
  <w:abstractNum w:abstractNumId="38">
    <w:nsid w:val="E7FFA2B"/>
    <w:multiLevelType w:val="hybridMultilevel"/>
    <w:lvl w:ilvl="0">
      <w:lvlJc w:val="left"/>
      <w:lvlText w:val="●"/>
      <w:numFmt w:val="bullet"/>
      <w:start w:val="1"/>
    </w:lvl>
  </w:abstractNum>
  <w:abstractNum w:abstractNumId="39">
    <w:nsid w:val="3C5991AA"/>
    <w:multiLevelType w:val="hybridMultilevel"/>
    <w:lvl w:ilvl="0">
      <w:lvlJc w:val="left"/>
      <w:lvlText w:val="●"/>
      <w:numFmt w:val="bullet"/>
      <w:start w:val="1"/>
    </w:lvl>
  </w:abstractNum>
  <w:abstractNum w:abstractNumId="40">
    <w:nsid w:val="4BD8591A"/>
    <w:multiLevelType w:val="hybridMultilevel"/>
    <w:lvl w:ilvl="0">
      <w:lvlJc w:val="left"/>
      <w:lvlText w:val="●"/>
      <w:numFmt w:val="bullet"/>
      <w:start w:val="1"/>
    </w:lvl>
  </w:abstractNum>
  <w:abstractNum w:abstractNumId="41">
    <w:nsid w:val="78DF6A55"/>
    <w:multiLevelType w:val="hybridMultilevel"/>
    <w:lvl w:ilvl="0">
      <w:lvlJc w:val="left"/>
      <w:lvlText w:val="●"/>
      <w:numFmt w:val="bullet"/>
      <w:start w:val="1"/>
    </w:lvl>
  </w:abstractNum>
  <w:abstractNum w:abstractNumId="42">
    <w:nsid w:val="39B7AAA2"/>
    <w:multiLevelType w:val="hybridMultilevel"/>
    <w:lvl w:ilvl="0">
      <w:lvlJc w:val="left"/>
      <w:lvlText w:val="●"/>
      <w:numFmt w:val="bullet"/>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1)"/>
      <w:numFmt w:val="lowerRoman"/>
      <w:start w:val="1"/>
    </w:lvl>
  </w:abstractNum>
  <w:abstractNum w:abstractNumId="46">
    <w:nsid w:val="69E373"/>
    <w:multiLevelType w:val="hybridMultilevel"/>
    <w:lvl w:ilvl="0">
      <w:lvlJc w:val="left"/>
      <w:lvlText w:val="(%1)"/>
      <w:numFmt w:val="lowerLetter"/>
      <w:start w:val="1"/>
    </w:lvl>
  </w:abstractNum>
  <w:abstractNum w:abstractNumId="47">
    <w:nsid w:val="2C27173B"/>
    <w:multiLevelType w:val="hybridMultilevel"/>
    <w:lvl w:ilvl="0">
      <w:lvlJc w:val="left"/>
      <w:lvlText w:val="(%1)"/>
      <w:numFmt w:val="decimal"/>
      <w:start w:val="1"/>
    </w:lvl>
  </w:abstractNum>
  <w:abstractNum w:abstractNumId="48">
    <w:nsid w:val="4C9B0904"/>
    <w:multiLevelType w:val="hybridMultilevel"/>
    <w:lvl w:ilvl="0">
      <w:lvlJc w:val="left"/>
      <w:lvlText w:val="(%1)"/>
      <w:numFmt w:val="lowerLetter"/>
      <w:start w:val="1"/>
    </w:lvl>
  </w:abstractNum>
  <w:abstractNum w:abstractNumId="49">
    <w:nsid w:val="6AA7B75C"/>
    <w:multiLevelType w:val="hybridMultilevel"/>
    <w:lvl w:ilvl="0">
      <w:lvlJc w:val="left"/>
      <w:lvlText w:val="(%1)"/>
      <w:numFmt w:val="lowerLetter"/>
      <w:start w:val="5"/>
    </w:lvl>
  </w:abstractNum>
  <w:abstractNum w:abstractNumId="50">
    <w:nsid w:val="1DF029D3"/>
    <w:multiLevelType w:val="hybridMultilevel"/>
    <w:lvl w:ilvl="0">
      <w:lvlJc w:val="left"/>
      <w:lvlText w:val="(%1)"/>
      <w:numFmt w:val="decimal"/>
      <w:start w:val="1"/>
    </w:lvl>
  </w:abstractNum>
  <w:abstractNum w:abstractNumId="51">
    <w:nsid w:val="5675FF36"/>
    <w:multiLevelType w:val="hybridMultilevel"/>
    <w:lvl w:ilvl="0">
      <w:lvlJc w:val="left"/>
      <w:lvlText w:val="●"/>
      <w:numFmt w:val="bullet"/>
      <w:start w:val="1"/>
    </w:lvl>
  </w:abstractNum>
  <w:abstractNum w:abstractNumId="52">
    <w:nsid w:val="3DD15094"/>
    <w:multiLevelType w:val="hybridMultilevel"/>
    <w:lvl w:ilvl="0">
      <w:lvlJc w:val="left"/>
      <w:lvlText w:val="●"/>
      <w:numFmt w:val="bullet"/>
      <w:start w:val="1"/>
    </w:lvl>
  </w:abstractNum>
  <w:abstractNum w:abstractNumId="53">
    <w:nsid w:val="3DB012B3"/>
    <w:multiLevelType w:val="hybridMultilevel"/>
    <w:lvl w:ilvl="0">
      <w:lvlJc w:val="left"/>
      <w:lvlText w:val="●"/>
      <w:numFmt w:val="bullet"/>
      <w:start w:val="1"/>
    </w:lvl>
  </w:abstractNum>
  <w:abstractNum w:abstractNumId="54">
    <w:nsid w:val="2708C9AF"/>
    <w:multiLevelType w:val="hybridMultilevel"/>
    <w:lvl w:ilvl="0">
      <w:lvlJc w:val="left"/>
      <w:lvlText w:val="●"/>
      <w:numFmt w:val="bullet"/>
      <w:start w:val="1"/>
    </w:lvl>
  </w:abstractNum>
  <w:abstractNum w:abstractNumId="55">
    <w:nsid w:val="5B25ACE2"/>
    <w:multiLevelType w:val="hybridMultilevel"/>
    <w:lvl w:ilvl="0">
      <w:lvlJc w:val="left"/>
      <w:lvlText w:val="●"/>
      <w:numFmt w:val="bullet"/>
      <w:start w:val="1"/>
    </w:lvl>
  </w:abstractNum>
  <w:abstractNum w:abstractNumId="56">
    <w:nsid w:val="175DFCF0"/>
    <w:multiLevelType w:val="hybridMultilevel"/>
    <w:lvl w:ilvl="0">
      <w:lvlJc w:val="left"/>
      <w:lvlText w:val="●"/>
      <w:numFmt w:val="bullet"/>
      <w:start w:val="1"/>
    </w:lvl>
  </w:abstractNum>
  <w:abstractNum w:abstractNumId="57">
    <w:nsid w:val="4F97E3E4"/>
    <w:multiLevelType w:val="hybridMultilevel"/>
    <w:lvl w:ilvl="0">
      <w:lvlJc w:val="left"/>
      <w:lvlText w:val="●"/>
      <w:numFmt w:val="bullet"/>
      <w:start w:val="1"/>
    </w:lvl>
  </w:abstractNum>
  <w:abstractNum w:abstractNumId="58">
    <w:nsid w:val="53B0A9E"/>
    <w:multiLevelType w:val="hybridMultilevel"/>
    <w:lvl w:ilvl="0">
      <w:lvlJc w:val="left"/>
      <w:lvlText w:val="●"/>
      <w:numFmt w:val="bullet"/>
      <w:start w:val="1"/>
    </w:lvl>
  </w:abstractNum>
  <w:abstractNum w:abstractNumId="59">
    <w:nsid w:val="34FD6B4F"/>
    <w:multiLevelType w:val="hybridMultilevel"/>
    <w:lvl w:ilvl="0">
      <w:lvlJc w:val="left"/>
      <w:lvlText w:val="●"/>
      <w:numFmt w:val="bullet"/>
      <w:start w:val="1"/>
    </w:lvl>
  </w:abstractNum>
  <w:abstractNum w:abstractNumId="60">
    <w:nsid w:val="5915FF32"/>
    <w:multiLevelType w:val="hybridMultilevel"/>
    <w:lvl w:ilvl="0">
      <w:lvlJc w:val="left"/>
      <w:lvlText w:val="●"/>
      <w:numFmt w:val="bullet"/>
      <w:start w:val="1"/>
    </w:lvl>
  </w:abstractNum>
  <w:abstractNum w:abstractNumId="61">
    <w:nsid w:val="56438D15"/>
    <w:multiLevelType w:val="hybridMultilevel"/>
    <w:lvl w:ilvl="0">
      <w:lvlJc w:val="left"/>
      <w:lvlText w:val="●"/>
      <w:numFmt w:val="bullet"/>
      <w:start w:val="1"/>
    </w:lvl>
  </w:abstractNum>
  <w:abstractNum w:abstractNumId="62">
    <w:nsid w:val="519E3149"/>
    <w:multiLevelType w:val="hybridMultilevel"/>
    <w:lvl w:ilvl="0">
      <w:lvlJc w:val="left"/>
      <w:lvlText w:val="●"/>
      <w:numFmt w:val="bullet"/>
      <w:start w:val="1"/>
    </w:lvl>
  </w:abstractNum>
  <w:abstractNum w:abstractNumId="63">
    <w:nsid w:val="2C6E4AFD"/>
    <w:multiLevelType w:val="hybridMultilevel"/>
    <w:lvl w:ilvl="0">
      <w:lvlJc w:val="left"/>
      <w:lvlText w:val="●"/>
      <w:numFmt w:val="bullet"/>
      <w:start w:val="1"/>
    </w:lvl>
  </w:abstractNum>
  <w:abstractNum w:abstractNumId="64">
    <w:nsid w:val="17A1B582"/>
    <w:multiLevelType w:val="hybridMultilevel"/>
    <w:lvl w:ilvl="0">
      <w:lvlJc w:val="left"/>
      <w:lvlText w:val="(%1)"/>
      <w:numFmt w:val="decimal"/>
      <w:start w:val="1"/>
    </w:lvl>
  </w:abstractNum>
  <w:abstractNum w:abstractNumId="65">
    <w:nsid w:val="4DF72E4E"/>
    <w:multiLevelType w:val="hybridMultilevel"/>
    <w:lvl w:ilvl="0">
      <w:lvlJc w:val="left"/>
      <w:lvlText w:val="(%1)"/>
      <w:numFmt w:val="decimal"/>
      <w:start w:val="1"/>
    </w:lvl>
  </w:abstractNum>
  <w:abstractNum w:abstractNumId="66">
    <w:nsid w:val="5046B5A9"/>
    <w:multiLevelType w:val="hybridMultilevel"/>
    <w:lvl w:ilvl="0">
      <w:lvlJc w:val="left"/>
      <w:lvlText w:val="●"/>
      <w:numFmt w:val="bullet"/>
      <w:start w:val="1"/>
    </w:lvl>
  </w:abstractNum>
  <w:abstractNum w:abstractNumId="67">
    <w:nsid w:val="5D888A08"/>
    <w:multiLevelType w:val="hybridMultilevel"/>
    <w:lvl w:ilvl="0">
      <w:lvlJc w:val="left"/>
      <w:lvlText w:val="(%1)"/>
      <w:numFmt w:val="decimal"/>
      <w:start w:val="1"/>
    </w:lvl>
  </w:abstractNum>
  <w:abstractNum w:abstractNumId="68">
    <w:nsid w:val="2A082C70"/>
    <w:multiLevelType w:val="hybridMultilevel"/>
    <w:lvl w:ilvl="0">
      <w:lvlJc w:val="left"/>
      <w:lvlText w:val="(%1)"/>
      <w:numFmt w:val="lowerRoman"/>
      <w:start w:val="3"/>
    </w:lvl>
  </w:abstractNum>
  <w:abstractNum w:abstractNumId="69">
    <w:nsid w:val="5EC6AFD4"/>
    <w:multiLevelType w:val="hybridMultilevel"/>
    <w:lvl w:ilvl="0">
      <w:lvlJc w:val="left"/>
      <w:lvlText w:val="●"/>
      <w:numFmt w:val="bullet"/>
      <w:start w:val="1"/>
    </w:lvl>
  </w:abstractNum>
  <w:abstractNum w:abstractNumId="70">
    <w:nsid w:val="19E21BB2"/>
    <w:multiLevelType w:val="hybridMultilevel"/>
    <w:lvl w:ilvl="0">
      <w:lvlJc w:val="left"/>
      <w:lvlText w:val="●"/>
      <w:numFmt w:val="bullet"/>
      <w:start w:val="1"/>
    </w:lvl>
  </w:abstractNum>
  <w:abstractNum w:abstractNumId="71">
    <w:nsid w:val="75E0858A"/>
    <w:multiLevelType w:val="hybridMultilevel"/>
    <w:lvl w:ilvl="0">
      <w:lvlJc w:val="left"/>
      <w:lvlText w:val="●"/>
      <w:numFmt w:val="bullet"/>
      <w:start w:val="1"/>
    </w:lvl>
  </w:abstractNum>
  <w:abstractNum w:abstractNumId="72">
    <w:nsid w:val="57A61A29"/>
    <w:multiLevelType w:val="hybridMultilevel"/>
    <w:lvl w:ilvl="0">
      <w:lvlJc w:val="left"/>
      <w:lvlText w:val="●"/>
      <w:numFmt w:val="bullet"/>
      <w:start w:val="1"/>
    </w:lvl>
  </w:abstractNum>
  <w:abstractNum w:abstractNumId="73">
    <w:nsid w:val="5399C654"/>
    <w:multiLevelType w:val="hybridMultilevel"/>
    <w:lvl w:ilvl="0">
      <w:lvlJc w:val="left"/>
      <w:lvlText w:val="●"/>
      <w:numFmt w:val="bullet"/>
      <w:start w:val="1"/>
    </w:lvl>
  </w:abstractNum>
  <w:abstractNum w:abstractNumId="74">
    <w:nsid w:val="20EE1348"/>
    <w:multiLevelType w:val="hybridMultilevel"/>
    <w:lvl w:ilvl="0">
      <w:lvlJc w:val="left"/>
      <w:lvlText w:val="●"/>
      <w:numFmt w:val="bullet"/>
      <w:start w:val="1"/>
    </w:lvl>
  </w:abstractNum>
  <w:abstractNum w:abstractNumId="75">
    <w:nsid w:val="4427069A"/>
    <w:multiLevelType w:val="hybridMultilevel"/>
    <w:lvl w:ilvl="0">
      <w:lvlJc w:val="left"/>
      <w:lvlText w:val="●"/>
      <w:numFmt w:val="bullet"/>
      <w:start w:val="1"/>
    </w:lvl>
  </w:abstractNum>
  <w:abstractNum w:abstractNumId="76">
    <w:nsid w:val="B37E80A"/>
    <w:multiLevelType w:val="hybridMultilevel"/>
    <w:lvl w:ilvl="0">
      <w:lvlJc w:val="left"/>
      <w:lvlText w:val="●"/>
      <w:numFmt w:val="bullet"/>
      <w:start w:val="1"/>
    </w:lvl>
  </w:abstractNum>
  <w:abstractNum w:abstractNumId="77">
    <w:nsid w:val="2157F6BC"/>
    <w:multiLevelType w:val="hybridMultilevel"/>
    <w:lvl w:ilvl="0">
      <w:lvlJc w:val="left"/>
      <w:lvlText w:val="●"/>
      <w:numFmt w:val="bullet"/>
      <w:start w:val="1"/>
    </w:lvl>
  </w:abstractNum>
  <w:abstractNum w:abstractNumId="78">
    <w:nsid w:val="704E1DD5"/>
    <w:multiLevelType w:val="hybridMultilevel"/>
    <w:lvl w:ilvl="0">
      <w:lvlJc w:val="left"/>
      <w:lvlText w:val="(%1)"/>
      <w:numFmt w:val="decimal"/>
      <w:start w:val="1"/>
    </w:lvl>
  </w:abstractNum>
  <w:abstractNum w:abstractNumId="79">
    <w:nsid w:val="57D2F10E"/>
    <w:multiLevelType w:val="hybridMultilevel"/>
    <w:lvl w:ilvl="0">
      <w:lvlJc w:val="left"/>
      <w:lvlText w:val="●"/>
      <w:numFmt w:val="bullet"/>
      <w:start w:val="1"/>
    </w:lvl>
  </w:abstractNum>
  <w:abstractNum w:abstractNumId="80">
    <w:nsid w:val="BFFAE18"/>
    <w:multiLevelType w:val="hybridMultilevel"/>
    <w:lvl w:ilvl="0">
      <w:lvlJc w:val="left"/>
      <w:lvlText w:val="●"/>
      <w:numFmt w:val="bullet"/>
      <w:start w:val="1"/>
    </w:lvl>
  </w:abstractNum>
  <w:abstractNum w:abstractNumId="81">
    <w:nsid w:val="E3E47A8"/>
    <w:multiLevelType w:val="hybridMultilevel"/>
    <w:lvl w:ilvl="0">
      <w:lvlJc w:val="left"/>
      <w:lvlText w:val="●"/>
      <w:numFmt w:val="bullet"/>
      <w:start w:val="1"/>
    </w:lvl>
  </w:abstractNum>
  <w:abstractNum w:abstractNumId="82">
    <w:nsid w:val="2E48F044"/>
    <w:multiLevelType w:val="hybridMultilevel"/>
    <w:lvl w:ilvl="0">
      <w:lvlJc w:val="left"/>
      <w:lvlText w:val="●"/>
      <w:numFmt w:val="bullet"/>
      <w:start w:val="1"/>
    </w:lvl>
  </w:abstractNum>
  <w:abstractNum w:abstractNumId="83">
    <w:nsid w:val="49D0FEAC"/>
    <w:multiLevelType w:val="hybridMultilevel"/>
    <w:lvl w:ilvl="0">
      <w:lvlJc w:val="left"/>
      <w:lvlText w:val="●"/>
      <w:numFmt w:val="bullet"/>
      <w:start w:val="1"/>
    </w:lvl>
  </w:abstractNum>
  <w:abstractNum w:abstractNumId="84">
    <w:nsid w:val="4BEE5A5B"/>
    <w:multiLevelType w:val="hybridMultilevel"/>
    <w:lvl w:ilvl="0">
      <w:lvlJc w:val="left"/>
      <w:lvlText w:val="(%1)"/>
      <w:numFmt w:val="decimal"/>
      <w:start w:val="1"/>
    </w:lvl>
  </w:abstractNum>
  <w:abstractNum w:abstractNumId="85">
    <w:nsid w:val="5551B9F3"/>
    <w:multiLevelType w:val="hybridMultilevel"/>
    <w:lvl w:ilvl="0">
      <w:lvlJc w:val="left"/>
      <w:lvlText w:val="(%1)"/>
      <w:numFmt w:val="decimal"/>
      <w:start w:val="1"/>
    </w:lvl>
  </w:abstractNum>
  <w:abstractNum w:abstractNumId="86">
    <w:nsid w:val="24F6AB8E"/>
    <w:multiLevelType w:val="hybridMultilevel"/>
    <w:lvl w:ilvl="0">
      <w:lvlJc w:val="left"/>
      <w:lvlText w:val="(%1)"/>
      <w:numFmt w:val="decimal"/>
      <w:start w:val="1"/>
    </w:lvl>
  </w:abstractNum>
  <w:abstractNum w:abstractNumId="87">
    <w:nsid w:val="634C574C"/>
    <w:multiLevelType w:val="hybridMultilevel"/>
    <w:lvl w:ilvl="0">
      <w:lvlJc w:val="left"/>
      <w:lvlText w:val="(%1)"/>
      <w:numFmt w:val="decimal"/>
      <w:start w:val="1"/>
    </w:lvl>
  </w:abstractNum>
  <w:abstractNum w:abstractNumId="88">
    <w:nsid w:val="24E99DD7"/>
    <w:multiLevelType w:val="hybridMultilevel"/>
    <w:lvl w:ilvl="0">
      <w:lvlJc w:val="left"/>
      <w:lvlText w:val="(%1)"/>
      <w:numFmt w:val="decimal"/>
      <w:start w:val="1"/>
    </w:lvl>
  </w:abstractNum>
  <w:abstractNum w:abstractNumId="89">
    <w:nsid w:val="2A31B62D"/>
    <w:multiLevelType w:val="hybridMultilevel"/>
    <w:lvl w:ilvl="0">
      <w:lvlJc w:val="left"/>
      <w:lvlText w:val="(%1)"/>
      <w:numFmt w:val="lowerLetter"/>
      <w:start w:val="2"/>
    </w:lvl>
  </w:abstractNum>
  <w:abstractNum w:abstractNumId="90">
    <w:nsid w:val="1849C29B"/>
    <w:multiLevelType w:val="hybridMultilevel"/>
    <w:lvl w:ilvl="0">
      <w:lvlJc w:val="left"/>
      <w:lvlText w:val="●"/>
      <w:numFmt w:val="bullet"/>
      <w:start w:val="1"/>
    </w:lvl>
  </w:abstractNum>
  <w:abstractNum w:abstractNumId="91">
    <w:nsid w:val="7DFF9D09"/>
    <w:multiLevelType w:val="hybridMultilevel"/>
    <w:lvl w:ilvl="0">
      <w:lvlJc w:val="left"/>
      <w:lvlText w:val="(%1)"/>
      <w:numFmt w:val="lowerRoman"/>
      <w:start w:val="2"/>
    </w:lvl>
  </w:abstractNum>
  <w:abstractNum w:abstractNumId="92">
    <w:nsid w:val="754342"/>
    <w:multiLevelType w:val="hybridMultilevel"/>
    <w:lvl w:ilvl="0">
      <w:lvlJc w:val="left"/>
      <w:lvlText w:val="●"/>
      <w:numFmt w:val="bullet"/>
      <w:start w:val="1"/>
    </w:lvl>
  </w:abstractNum>
  <w:abstractNum w:abstractNumId="93">
    <w:nsid w:val="69E7F3E5"/>
    <w:multiLevelType w:val="hybridMultilevel"/>
    <w:lvl w:ilvl="0">
      <w:lvlJc w:val="left"/>
      <w:lvlText w:val="(%1)"/>
      <w:numFmt w:val="lowerRoman"/>
      <w:start w:val="2"/>
    </w:lvl>
  </w:abstractNum>
  <w:abstractNum w:abstractNumId="94">
    <w:nsid w:val="2A6DE806"/>
    <w:multiLevelType w:val="hybridMultilevel"/>
    <w:lvl w:ilvl="0">
      <w:lvlJc w:val="left"/>
      <w:lvlText w:val="●"/>
      <w:numFmt w:val="bullet"/>
      <w:start w:val="1"/>
    </w:lvl>
  </w:abstractNum>
  <w:abstractNum w:abstractNumId="95">
    <w:nsid w:val="1816F8C4"/>
    <w:multiLevelType w:val="hybridMultilevel"/>
    <w:lvl w:ilvl="0">
      <w:lvlJc w:val="left"/>
      <w:lvlText w:val="\emdash "/>
      <w:numFmt w:val="bullet"/>
      <w:start w:val="1"/>
    </w:lvl>
  </w:abstractNum>
  <w:abstractNum w:abstractNumId="96">
    <w:nsid w:val="37DF2233"/>
    <w:multiLevelType w:val="hybridMultilevel"/>
    <w:lvl w:ilvl="0">
      <w:lvlJc w:val="left"/>
      <w:lvlText w:val="(%1)"/>
      <w:numFmt w:val="decimal"/>
      <w:start w:val="1"/>
    </w:lvl>
  </w:abstractNum>
  <w:abstractNum w:abstractNumId="97">
    <w:nsid w:val="7AB49DAF"/>
    <w:multiLevelType w:val="hybridMultilevel"/>
    <w:lvl w:ilvl="0">
      <w:lvlJc w:val="left"/>
      <w:lvlText w:val="(%1)"/>
      <w:numFmt w:val="decimal"/>
      <w:start w:val="2"/>
    </w:lvl>
  </w:abstractNum>
  <w:abstractNum w:abstractNumId="98">
    <w:nsid w:val="759F82CD"/>
    <w:multiLevelType w:val="hybridMultilevel"/>
    <w:lvl w:ilvl="0">
      <w:lvlJc w:val="left"/>
      <w:lvlText w:val="●"/>
      <w:numFmt w:val="bullet"/>
      <w:start w:val="1"/>
    </w:lvl>
  </w:abstractNum>
  <w:abstractNum w:abstractNumId="99">
    <w:nsid w:val="61E74EA3"/>
    <w:multiLevelType w:val="hybridMultilevel"/>
    <w:lvl w:ilvl="0">
      <w:lvlJc w:val="left"/>
      <w:lvlText w:val="●"/>
      <w:numFmt w:val="bullet"/>
      <w:start w:val="1"/>
    </w:lvl>
  </w:abstractNum>
  <w:abstractNum w:abstractNumId="100">
    <w:nsid w:val="597B4D84"/>
    <w:multiLevelType w:val="hybridMultilevel"/>
    <w:lvl w:ilvl="0">
      <w:lvlJc w:val="left"/>
      <w:lvlText w:val="(%1)"/>
      <w:numFmt w:val="decimal"/>
      <w:start w:val="1"/>
    </w:lvl>
  </w:abstractNum>
  <w:abstractNum w:abstractNumId="101">
    <w:nsid w:val="F819E7F"/>
    <w:multiLevelType w:val="hybridMultilevel"/>
    <w:lvl w:ilvl="0">
      <w:lvlJc w:val="left"/>
      <w:lvlText w:val="●"/>
      <w:numFmt w:val="bullet"/>
      <w:start w:val="1"/>
    </w:lvl>
  </w:abstractNum>
  <w:abstractNum w:abstractNumId="102">
    <w:nsid w:val="57C7D42D"/>
    <w:multiLevelType w:val="hybridMultilevel"/>
    <w:lvl w:ilvl="0">
      <w:lvlJc w:val="left"/>
      <w:lvlText w:val="●"/>
      <w:numFmt w:val="bullet"/>
      <w:start w:val="1"/>
    </w:lvl>
  </w:abstractNum>
  <w:abstractNum w:abstractNumId="103">
    <w:nsid w:val="312167AD"/>
    <w:multiLevelType w:val="hybridMultilevel"/>
    <w:lvl w:ilvl="0">
      <w:lvlJc w:val="left"/>
      <w:lvlText w:val="●"/>
      <w:numFmt w:val="bullet"/>
      <w:start w:val="1"/>
    </w:lvl>
  </w:abstractNum>
  <w:abstractNum w:abstractNumId="104">
    <w:nsid w:val="631B64D4"/>
    <w:multiLevelType w:val="hybridMultilevel"/>
    <w:lvl w:ilvl="0">
      <w:lvlJc w:val="left"/>
      <w:lvlText w:val="%1."/>
      <w:numFmt w:val="decimal"/>
      <w:start w:val="2"/>
    </w:lvl>
    <w:lvl w:ilvl="1">
      <w:lvlJc w:val="left"/>
      <w:lvlText w:val="(%2)"/>
      <w:numFmt w:val="lowerLetter"/>
      <w:start w:val="1"/>
    </w:lvl>
  </w:abstractNum>
  <w:abstractNum w:abstractNumId="105">
    <w:nsid w:val="78B5E776"/>
    <w:multiLevelType w:val="hybridMultilevel"/>
    <w:lvl w:ilvl="0">
      <w:lvlJc w:val="left"/>
      <w:lvlText w:val="%1."/>
      <w:numFmt w:val="decimal"/>
      <w:start w:val="2"/>
    </w:lvl>
    <w:lvl w:ilvl="1">
      <w:lvlJc w:val="left"/>
      <w:lvlText w:val="(%2)"/>
      <w:numFmt w:val="lowerLetter"/>
      <w:start w:val="2"/>
    </w:lvl>
  </w:abstractNum>
  <w:abstractNum w:abstractNumId="106">
    <w:nsid w:val="75486E47"/>
    <w:multiLevelType w:val="hybridMultilevel"/>
    <w:lvl w:ilvl="0">
      <w:lvlJc w:val="left"/>
      <w:lvlText w:val="%1."/>
      <w:numFmt w:val="decimal"/>
      <w:start w:val="2"/>
    </w:lvl>
    <w:lvl w:ilvl="1">
      <w:lvlJc w:val="left"/>
      <w:lvlText w:val="(%2)"/>
      <w:numFmt w:val="lowerLetter"/>
      <w:start w:val="6"/>
    </w:lvl>
  </w:abstractNum>
  <w:abstractNum w:abstractNumId="107">
    <w:nsid w:val="6E534CDE"/>
    <w:multiLevelType w:val="hybridMultilevel"/>
    <w:lvl w:ilvl="0">
      <w:lvlJc w:val="left"/>
      <w:lvlText w:val="%1."/>
      <w:numFmt w:val="decimal"/>
      <w:start w:val="2"/>
    </w:lvl>
    <w:lvl w:ilvl="1">
      <w:lvlJc w:val="left"/>
      <w:lvlText w:val="●"/>
      <w:numFmt w:val="bullet"/>
      <w:start w:val="1"/>
    </w:lvl>
  </w:abstractNum>
  <w:abstractNum w:abstractNumId="108">
    <w:nsid w:val="1A0DDE32"/>
    <w:multiLevelType w:val="hybridMultilevel"/>
    <w:lvl w:ilvl="0">
      <w:lvlJc w:val="left"/>
      <w:lvlText w:val="%1."/>
      <w:numFmt w:val="lowerLetter"/>
      <w:start w:val="1"/>
    </w:lvl>
  </w:abstractNum>
  <w:abstractNum w:abstractNumId="109">
    <w:nsid w:val="65968C1C"/>
    <w:multiLevelType w:val="hybridMultilevel"/>
    <w:lvl w:ilvl="0">
      <w:lvlJc w:val="left"/>
      <w:lvlText w:val="(%1)"/>
      <w:numFmt w:val="decimal"/>
      <w:start w:val="1"/>
    </w:lvl>
  </w:abstractNum>
  <w:abstractNum w:abstractNumId="110">
    <w:nsid w:val="46263DEC"/>
    <w:multiLevelType w:val="hybridMultilevel"/>
    <w:lvl w:ilvl="0">
      <w:lvlJc w:val="left"/>
      <w:lvlText w:val="(%1)"/>
      <w:numFmt w:val="decimal"/>
      <w:start w:val="1"/>
    </w:lvl>
  </w:abstractNum>
  <w:abstractNum w:abstractNumId="111">
    <w:nsid w:val="260D8C4A"/>
    <w:multiLevelType w:val="hybridMultilevel"/>
    <w:lvl w:ilvl="0">
      <w:lvlJc w:val="left"/>
      <w:lvlText w:val="(%1)"/>
      <w:numFmt w:val="decimal"/>
      <w:start w:val="1"/>
    </w:lvl>
  </w:abstractNum>
  <w:abstractNum w:abstractNumId="112">
    <w:nsid w:val="73D4D3C4"/>
    <w:multiLevelType w:val="hybridMultilevel"/>
    <w:lvl w:ilvl="0">
      <w:lvlJc w:val="left"/>
      <w:lvlText w:val="(%1)"/>
      <w:numFmt w:val="decimal"/>
      <w:start w:val="1"/>
    </w:lvl>
  </w:abstractNum>
  <w:abstractNum w:abstractNumId="113">
    <w:nsid w:val="746F2E30"/>
    <w:multiLevelType w:val="hybridMultilevel"/>
    <w:lvl w:ilvl="0">
      <w:lvlJc w:val="left"/>
      <w:lvlText w:val="●"/>
      <w:numFmt w:val="bullet"/>
      <w:start w:val="1"/>
    </w:lvl>
  </w:abstractNum>
  <w:abstractNum w:abstractNumId="114">
    <w:nsid w:val="6FDE8AF6"/>
    <w:multiLevelType w:val="hybridMultilevel"/>
    <w:lvl w:ilvl="0">
      <w:lvlJc w:val="left"/>
      <w:lvlText w:val="(%1)"/>
      <w:numFmt w:val="lowerLetter"/>
      <w:start w:val="14"/>
    </w:lvl>
    <w:lvl w:ilvl="1">
      <w:lvlJc w:val="left"/>
      <w:lvlText w:val="●"/>
      <w:numFmt w:val="bullet"/>
      <w:start w:val="1"/>
    </w:lvl>
  </w:abstractNum>
  <w:abstractNum w:abstractNumId="115">
    <w:nsid w:val="3FC32E20"/>
    <w:multiLevelType w:val="hybridMultilevel"/>
    <w:lvl w:ilvl="0">
      <w:lvlJc w:val="left"/>
      <w:lvlText w:val="●"/>
      <w:numFmt w:val="bullet"/>
      <w:start w:val="1"/>
    </w:lvl>
  </w:abstractNum>
  <w:abstractNum w:abstractNumId="116">
    <w:nsid w:val="49C0E823"/>
    <w:multiLevelType w:val="hybridMultilevel"/>
    <w:lvl w:ilvl="0">
      <w:lvlJc w:val="left"/>
      <w:lvlText w:val="(%1)"/>
      <w:numFmt w:val="decimal"/>
      <w:start w:val="1"/>
    </w:lvl>
  </w:abstractNum>
  <w:abstractNum w:abstractNumId="117">
    <w:nsid w:val="14D53685"/>
    <w:multiLevelType w:val="hybridMultilevel"/>
    <w:lvl w:ilvl="0">
      <w:lvlJc w:val="left"/>
      <w:lvlText w:val="(%1)"/>
      <w:numFmt w:val="decimal"/>
      <w:start w:val="1"/>
    </w:lvl>
  </w:abstractNum>
  <w:abstractNum w:abstractNumId="118">
    <w:nsid w:val="230F856C"/>
    <w:multiLevelType w:val="hybridMultilevel"/>
    <w:lvl w:ilvl="0">
      <w:lvlJc w:val="left"/>
      <w:lvlText w:val="(%1)"/>
      <w:numFmt w:val="decimal"/>
      <w:start w:val="1"/>
    </w:lvl>
  </w:abstractNum>
  <w:abstractNum w:abstractNumId="119">
    <w:nsid w:val="6EAA85FB"/>
    <w:multiLevelType w:val="hybridMultilevel"/>
    <w:lvl w:ilvl="0">
      <w:lvlJc w:val="left"/>
      <w:lvlText w:val="(%1)"/>
      <w:numFmt w:val="decimal"/>
      <w:start w:val="1"/>
    </w:lvl>
  </w:abstractNum>
  <w:abstractNum w:abstractNumId="120">
    <w:nsid w:val="3F06ECB2"/>
    <w:multiLevelType w:val="hybridMultilevel"/>
    <w:lvl w:ilvl="0">
      <w:lvlJc w:val="left"/>
      <w:lvlText w:val="●"/>
      <w:numFmt w:val="bullet"/>
      <w:start w:val="1"/>
    </w:lvl>
  </w:abstractNum>
  <w:abstractNum w:abstractNumId="121">
    <w:nsid w:val="3B594807"/>
    <w:multiLevelType w:val="hybridMultilevel"/>
    <w:lvl w:ilvl="0">
      <w:lvlJc w:val="left"/>
      <w:lvlText w:val="(%1)"/>
      <w:numFmt w:val="decimal"/>
      <w:start w:val="1"/>
    </w:lvl>
  </w:abstractNum>
  <w:abstractNum w:abstractNumId="122">
    <w:nsid w:val="6CAA2304"/>
    <w:multiLevelType w:val="hybridMultilevel"/>
    <w:lvl w:ilvl="0">
      <w:lvlJc w:val="left"/>
      <w:lvlText w:val="(%1)"/>
      <w:numFmt w:val="decimal"/>
      <w:start w:val="1"/>
    </w:lvl>
  </w:abstractNum>
  <w:abstractNum w:abstractNumId="123">
    <w:nsid w:val="3F7C2FF4"/>
    <w:multiLevelType w:val="hybridMultilevel"/>
    <w:lvl w:ilvl="0">
      <w:lvlJc w:val="left"/>
      <w:lvlText w:val="(%1)"/>
      <w:numFmt w:val="decimal"/>
      <w:start w:val="1"/>
    </w:lvl>
  </w:abstractNum>
  <w:abstractNum w:abstractNumId="124">
    <w:nsid w:val="25413BEC"/>
    <w:multiLevelType w:val="hybridMultilevel"/>
    <w:lvl w:ilvl="0">
      <w:lvlJc w:val="left"/>
      <w:lvlText w:val="(%1)"/>
      <w:numFmt w:val="decimal"/>
      <w:start w:val="1"/>
    </w:lvl>
  </w:abstractNum>
  <w:abstractNum w:abstractNumId="125">
    <w:nsid w:val="17180B0B"/>
    <w:multiLevelType w:val="hybridMultilevel"/>
    <w:lvl w:ilvl="0">
      <w:lvlJc w:val="left"/>
      <w:lvlText w:val="%1."/>
      <w:numFmt w:val="decimal"/>
      <w:start w:val="1"/>
    </w:lvl>
    <w:lvl w:ilvl="1">
      <w:lvlJc w:val="left"/>
      <w:lvlText w:val="(%2)"/>
      <w:numFmt w:val="lowerLetter"/>
      <w:start w:val="1"/>
    </w:lvl>
  </w:abstractNum>
  <w:abstractNum w:abstractNumId="126">
    <w:nsid w:val="579328B9"/>
    <w:multiLevelType w:val="hybridMultilevel"/>
    <w:lvl w:ilvl="0">
      <w:lvlJc w:val="left"/>
      <w:lvlText w:val="%1."/>
      <w:numFmt w:val="decimal"/>
      <w:start w:val="2"/>
    </w:lvl>
  </w:abstractNum>
  <w:abstractNum w:abstractNumId="127">
    <w:nsid w:val="5D205E20"/>
    <w:multiLevelType w:val="hybridMultilevel"/>
    <w:lvl w:ilvl="0">
      <w:lvlJc w:val="left"/>
      <w:lvlText w:val="(%1)"/>
      <w:numFmt w:val="lowerLetter"/>
      <w:start w:val="5"/>
    </w:lvl>
  </w:abstractNum>
  <w:abstractNum w:abstractNumId="128">
    <w:nsid w:val="11CCA8BA"/>
    <w:multiLevelType w:val="hybridMultilevel"/>
    <w:lvl w:ilvl="0">
      <w:lvlJc w:val="left"/>
      <w:lvlText w:val="(%1)"/>
      <w:numFmt w:val="lowerRoman"/>
      <w:start w:val="1"/>
    </w:lvl>
  </w:abstractNum>
  <w:abstractNum w:abstractNumId="129">
    <w:nsid w:val="4D32AB86"/>
    <w:multiLevelType w:val="hybridMultilevel"/>
    <w:lvl w:ilvl="0">
      <w:lvlJc w:val="left"/>
      <w:lvlText w:val="(%1)"/>
      <w:numFmt w:val="lowerLetter"/>
      <w:start w:val="10"/>
    </w:lvl>
  </w:abstractNum>
  <w:abstractNum w:abstractNumId="130">
    <w:nsid w:val="3F07ACC3"/>
    <w:multiLevelType w:val="hybridMultilevel"/>
    <w:lvl w:ilvl="0">
      <w:lvlJc w:val="left"/>
      <w:lvlText w:val="%1."/>
      <w:numFmt w:val="decimal"/>
      <w:start w:val="2"/>
    </w:lvl>
  </w:abstractNum>
  <w:abstractNum w:abstractNumId="131">
    <w:nsid w:val="6B47F63E"/>
    <w:multiLevelType w:val="hybridMultilevel"/>
    <w:lvl w:ilvl="0">
      <w:lvlJc w:val="left"/>
      <w:lvlText w:val="(%1)"/>
      <w:numFmt w:val="lowerLetter"/>
      <w:start w:val="12"/>
    </w:lvl>
    <w:lvl w:ilvl="1">
      <w:lvlJc w:val="left"/>
      <w:lvlText w:val="●"/>
      <w:numFmt w:val="bullet"/>
      <w:start w:val="1"/>
    </w:lvl>
  </w:abstractNum>
  <w:abstractNum w:abstractNumId="132">
    <w:nsid w:val="5CB44A05"/>
    <w:multiLevelType w:val="hybridMultilevel"/>
    <w:lvl w:ilvl="0">
      <w:lvlJc w:val="left"/>
      <w:lvlText w:val="%1."/>
      <w:numFmt w:val="decimal"/>
      <w:start w:val="2"/>
    </w:lvl>
  </w:abstractNum>
  <w:abstractNum w:abstractNumId="133">
    <w:nsid w:val="16CF80F1"/>
    <w:multiLevelType w:val="hybridMultilevel"/>
    <w:lvl w:ilvl="0">
      <w:lvlJc w:val="left"/>
      <w:lvlText w:val="(%1)"/>
      <w:numFmt w:val="lowerLetter"/>
      <w:start w:val="13"/>
    </w:lvl>
  </w:abstractNum>
  <w:abstractNum w:abstractNumId="134">
    <w:nsid w:val="1C695DEC"/>
    <w:multiLevelType w:val="hybridMultilevel"/>
    <w:lvl w:ilvl="0">
      <w:lvlJc w:val="left"/>
      <w:lvlText w:val="%1."/>
      <w:numFmt w:val="decimal"/>
      <w:start w:val="2"/>
    </w:lvl>
    <w:lvl w:ilvl="1">
      <w:lvlJc w:val="left"/>
      <w:lvlText w:val="(%2)"/>
      <w:numFmt w:val="lowerLetter"/>
      <w:start w:val="15"/>
    </w:lvl>
  </w:abstractNum>
  <w:abstractNum w:abstractNumId="135">
    <w:nsid w:val="3FCFAED9"/>
    <w:multiLevelType w:val="hybridMultilevel"/>
    <w:lvl w:ilvl="0">
      <w:lvlJc w:val="left"/>
      <w:lvlText w:val="%1."/>
      <w:numFmt w:val="decimal"/>
      <w:start w:val="2"/>
    </w:lvl>
    <w:lvl w:ilvl="1">
      <w:lvlJc w:val="left"/>
      <w:lvlText w:val="(%2)"/>
      <w:numFmt w:val="lowerLetter"/>
      <w:start w:val="19"/>
    </w:lvl>
  </w:abstractNum>
  <w:abstractNum w:abstractNumId="136">
    <w:nsid w:val="F856867"/>
    <w:multiLevelType w:val="hybridMultilevel"/>
    <w:lvl w:ilvl="0">
      <w:lvlJc w:val="left"/>
      <w:lvlText w:val="%1."/>
      <w:numFmt w:val="decimal"/>
      <w:start w:val="2"/>
    </w:lvl>
    <w:lvl w:ilvl="1">
      <w:lvlJc w:val="left"/>
      <w:lvlText w:val="(%2)"/>
      <w:numFmt w:val="lowerLetter"/>
      <w:start w:val="22"/>
    </w:lvl>
    <w:lvl w:ilvl="2">
      <w:lvlJc w:val="left"/>
      <w:lvlText w:val="●"/>
      <w:numFmt w:val="bullet"/>
      <w:start w:val="1"/>
    </w:lvl>
  </w:abstractNum>
  <w:abstractNum w:abstractNumId="137">
    <w:nsid w:val="11B1CC33"/>
    <w:multiLevelType w:val="hybridMultilevel"/>
    <w:lvl w:ilvl="0">
      <w:lvlJc w:val="left"/>
      <w:lvlText w:val="%1."/>
      <w:numFmt w:val="decimal"/>
      <w:start w:val="2"/>
    </w:lvl>
  </w:abstractNum>
  <w:abstractNum w:abstractNumId="138">
    <w:nsid w:val="2E22FBB7"/>
    <w:multiLevelType w:val="hybridMultilevel"/>
    <w:lvl w:ilvl="0">
      <w:lvlJc w:val="left"/>
      <w:lvlText w:val="%1"/>
      <w:numFmt w:val="decimal"/>
      <w:start w:val="1"/>
    </w:lvl>
    <w:lvl w:ilvl="1">
      <w:lvlJc w:val="left"/>
      <w:lvlText w:val="(%2)"/>
      <w:numFmt w:val="lowerLetter"/>
      <w:start w:val="25"/>
    </w:lvl>
  </w:abstractNum>
  <w:abstractNum w:abstractNumId="139">
    <w:nsid w:val="29934699"/>
    <w:multiLevelType w:val="hybridMultilevel"/>
    <w:lvl w:ilvl="0">
      <w:lvlJc w:val="left"/>
      <w:lvlText w:val="%1."/>
      <w:numFmt w:val="decimal"/>
      <w:start w:val="3"/>
    </w:lvl>
    <w:lvl w:ilvl="1">
      <w:lvlJc w:val="left"/>
      <w:lvlText w:val="%2"/>
      <w:numFmt w:val="lowerLetter"/>
      <w:start w:val="1"/>
    </w:lvl>
  </w:abstractNum>
  <w:abstractNum w:abstractNumId="140">
    <w:nsid w:val="77485850"/>
    <w:multiLevelType w:val="hybridMultilevel"/>
    <w:lvl w:ilvl="0">
      <w:lvlJc w:val="left"/>
      <w:lvlText w:val="%1."/>
      <w:numFmt w:val="decimal"/>
      <w:start w:val="4"/>
    </w:lvl>
  </w:abstractNum>
  <w:abstractNum w:abstractNumId="141">
    <w:nsid w:val="744939A3"/>
    <w:multiLevelType w:val="hybridMultilevel"/>
    <w:lvl w:ilvl="0">
      <w:lvlJc w:val="left"/>
      <w:lvlText w:val="%1."/>
      <w:numFmt w:val="decimal"/>
      <w:start w:val="5"/>
    </w:lvl>
  </w:abstractNum>
  <w:abstractNum w:abstractNumId="142">
    <w:nsid w:val="4FA0D2E3"/>
    <w:multiLevelType w:val="hybridMultilevel"/>
    <w:lvl w:ilvl="0">
      <w:lvlJc w:val="left"/>
      <w:lvlText w:val="%1."/>
      <w:numFmt w:val="decimal"/>
      <w:start w:val="6"/>
    </w:lvl>
  </w:abstractNum>
  <w:abstractNum w:abstractNumId="143">
    <w:nsid w:val="6B1D2C14"/>
    <w:multiLevelType w:val="hybridMultilevel"/>
    <w:lvl w:ilvl="0">
      <w:lvlJc w:val="left"/>
      <w:lvlText w:val="%1."/>
      <w:numFmt w:val="decimal"/>
      <w:start w:val="7"/>
    </w:lvl>
  </w:abstractNum>
  <w:abstractNum w:abstractNumId="144">
    <w:nsid w:val="68B867D3"/>
    <w:multiLevelType w:val="hybridMultilevel"/>
    <w:lvl w:ilvl="0">
      <w:lvlJc w:val="left"/>
      <w:lvlText w:val="%1."/>
      <w:numFmt w:val="decimal"/>
      <w:start w:val="8"/>
    </w:lvl>
  </w:abstractNum>
  <w:abstractNum w:abstractNumId="145">
    <w:nsid w:val="3F7F5DD9"/>
    <w:multiLevelType w:val="hybridMultilevel"/>
    <w:lvl w:ilvl="0">
      <w:lvlJc w:val="left"/>
      <w:lvlText w:val="%1."/>
      <w:numFmt w:val="decimal"/>
      <w:start w:val="8"/>
    </w:lvl>
  </w:abstractNum>
  <w:abstractNum w:abstractNumId="146">
    <w:nsid w:val="2AE05A34"/>
    <w:multiLevelType w:val="hybridMultilevel"/>
    <w:lvl w:ilvl="0">
      <w:lvlJc w:val="left"/>
      <w:lvlText w:val="(%1)"/>
      <w:numFmt w:val="decimal"/>
      <w:start w:val="1"/>
    </w:lvl>
  </w:abstractNum>
  <w:abstractNum w:abstractNumId="147">
    <w:nsid w:val="32794FF7"/>
    <w:multiLevelType w:val="hybridMultilevel"/>
    <w:lvl w:ilvl="0">
      <w:lvlJc w:val="left"/>
      <w:lvlText w:val="%1."/>
      <w:numFmt w:val="decimal"/>
      <w:start w:val="8"/>
    </w:lvl>
  </w:abstractNum>
  <w:abstractNum w:abstractNumId="148">
    <w:nsid w:val="5454945E"/>
    <w:multiLevelType w:val="hybridMultilevel"/>
    <w:lvl w:ilvl="0">
      <w:lvlJc w:val="left"/>
      <w:lvlText w:val="%1."/>
      <w:numFmt w:val="decimal"/>
      <w:start w:val="9"/>
    </w:lvl>
  </w:abstractNum>
  <w:abstractNum w:abstractNumId="149">
    <w:nsid w:val="4DEFDFA0"/>
    <w:multiLevelType w:val="hybridMultilevel"/>
    <w:lvl w:ilvl="0">
      <w:lvlJc w:val="left"/>
      <w:lvlText w:val="%1."/>
      <w:numFmt w:val="decimal"/>
      <w:start w:val="9"/>
    </w:lvl>
  </w:abstractNum>
  <w:abstractNum w:abstractNumId="150">
    <w:nsid w:val="2123D5F2"/>
    <w:multiLevelType w:val="hybridMultilevel"/>
    <w:lvl w:ilvl="0">
      <w:lvlJc w:val="left"/>
      <w:lvlText w:val="%1."/>
      <w:numFmt w:val="decimal"/>
      <w:start w:val="10"/>
    </w:lvl>
  </w:abstractNum>
  <w:abstractNum w:abstractNumId="151">
    <w:nsid w:val="135B8110"/>
    <w:multiLevelType w:val="hybridMultilevel"/>
    <w:lvl w:ilvl="0">
      <w:lvlJc w:val="left"/>
      <w:lvlText w:val="%1."/>
      <w:numFmt w:val="decimal"/>
      <w:start w:val="11"/>
    </w:lvl>
    <w:lvl w:ilvl="1">
      <w:lvlJc w:val="left"/>
      <w:lvlText w:val="(%2)"/>
      <w:numFmt w:val="lowerLetter"/>
      <w:start w:val="1"/>
    </w:lvl>
  </w:abstractNum>
  <w:abstractNum w:abstractNumId="152">
    <w:nsid w:val="94927A8"/>
    <w:multiLevelType w:val="hybridMultilevel"/>
    <w:lvl w:ilvl="0">
      <w:lvlJc w:val="left"/>
      <w:lvlText w:val="%1."/>
      <w:numFmt w:val="decimal"/>
      <w:start w:val="11"/>
    </w:lvl>
  </w:abstractNum>
  <w:abstractNum w:abstractNumId="153">
    <w:nsid w:val="DCDF8F6"/>
    <w:multiLevelType w:val="hybridMultilevel"/>
    <w:lvl w:ilvl="0">
      <w:lvlJc w:val="left"/>
      <w:lvlText w:val="%1."/>
      <w:numFmt w:val="decimal"/>
      <w:start w:val="11"/>
    </w:lvl>
  </w:abstractNum>
  <w:abstractNum w:abstractNumId="154">
    <w:nsid w:val="52D7B105"/>
    <w:multiLevelType w:val="hybridMultilevel"/>
    <w:lvl w:ilvl="0">
      <w:lvlJc w:val="left"/>
      <w:lvlText w:val="%1."/>
      <w:numFmt w:val="decimal"/>
      <w:start w:val="12"/>
    </w:lvl>
  </w:abstractNum>
  <w:abstractNum w:abstractNumId="155">
    <w:nsid w:val="2E8A6394"/>
    <w:multiLevelType w:val="hybridMultilevel"/>
    <w:lvl w:ilvl="0">
      <w:lvlJc w:val="left"/>
      <w:lvlText w:val="%1."/>
      <w:numFmt w:val="decimal"/>
      <w:start w:val="12"/>
    </w:lvl>
  </w:abstractNum>
  <w:abstractNum w:abstractNumId="156">
    <w:nsid w:val="24E60401"/>
    <w:multiLevelType w:val="hybridMultilevel"/>
    <w:lvl w:ilvl="0">
      <w:lvlJc w:val="left"/>
      <w:lvlText w:val="(%1)"/>
      <w:numFmt w:val="decimal"/>
      <w:start w:val="1"/>
    </w:lvl>
  </w:abstractNum>
  <w:abstractNum w:abstractNumId="157">
    <w:nsid w:val="2A6AD9BE"/>
    <w:multiLevelType w:val="hybridMultilevel"/>
    <w:lvl w:ilvl="0">
      <w:lvlJc w:val="left"/>
      <w:lvlText w:val="%1."/>
      <w:numFmt w:val="decimal"/>
      <w:start w:val="12"/>
    </w:lvl>
  </w:abstractNum>
  <w:abstractNum w:abstractNumId="158">
    <w:nsid w:val="BAAC1B4"/>
    <w:multiLevelType w:val="hybridMultilevel"/>
    <w:lvl w:ilvl="0">
      <w:lvlJc w:val="left"/>
      <w:lvlText w:val="%1."/>
      <w:numFmt w:val="decimal"/>
      <w:start w:val="13"/>
    </w:lvl>
  </w:abstractNum>
  <w:abstractNum w:abstractNumId="159">
    <w:nsid w:val="36B2ACBC"/>
    <w:multiLevelType w:val="hybridMultilevel"/>
    <w:lvl w:ilvl="0">
      <w:lvlJc w:val="left"/>
      <w:lvlText w:val="%1."/>
      <w:numFmt w:val="decimal"/>
      <w:start w:val="14"/>
    </w:lvl>
  </w:abstractNum>
  <w:abstractNum w:abstractNumId="160">
    <w:nsid w:val="779D8544"/>
    <w:multiLevelType w:val="hybridMultilevel"/>
    <w:lvl w:ilvl="0">
      <w:lvlJc w:val="left"/>
      <w:lvlText w:val="%1."/>
      <w:numFmt w:val="decimal"/>
      <w:start w:val="14"/>
    </w:lvl>
  </w:abstractNum>
  <w:abstractNum w:abstractNumId="161">
    <w:nsid w:val="4AB26E78"/>
    <w:multiLevelType w:val="hybridMultilevel"/>
    <w:lvl w:ilvl="0">
      <w:lvlJc w:val="left"/>
      <w:lvlText w:val="%1."/>
      <w:numFmt w:val="decimal"/>
      <w:start w:val="15"/>
    </w:lvl>
  </w:abstractNum>
  <w:abstractNum w:abstractNumId="162">
    <w:nsid w:val="21FAA2FA"/>
    <w:multiLevelType w:val="hybridMultilevel"/>
    <w:lvl w:ilvl="0">
      <w:lvlJc w:val="left"/>
      <w:lvlText w:val="%1."/>
      <w:numFmt w:val="decimal"/>
      <w:start w:val="16"/>
    </w:lvl>
  </w:abstractNum>
  <w:abstractNum w:abstractNumId="163">
    <w:nsid w:val="5451CF49"/>
    <w:multiLevelType w:val="hybridMultilevel"/>
    <w:lvl w:ilvl="0">
      <w:lvlJc w:val="left"/>
      <w:lvlText w:val="%1."/>
      <w:numFmt w:val="decimal"/>
      <w:start w:val="17"/>
    </w:lvl>
  </w:abstractNum>
  <w:abstractNum w:abstractNumId="164">
    <w:nsid w:val="6181EF69"/>
    <w:multiLevelType w:val="hybridMultilevel"/>
    <w:lvl w:ilvl="0">
      <w:lvlJc w:val="left"/>
      <w:lvlText w:val="%1."/>
      <w:numFmt w:val="decimal"/>
      <w:start w:val="18"/>
    </w:lvl>
    <w:lvl w:ilvl="1">
      <w:lvlJc w:val="left"/>
      <w:lvlText w:val="(%2)"/>
      <w:numFmt w:val="lowerLetter"/>
      <w:start w:val="1"/>
    </w:lvl>
  </w:abstractNum>
  <w:abstractNum w:abstractNumId="165">
    <w:nsid w:val="3E6400E6"/>
    <w:multiLevelType w:val="hybridMultilevel"/>
    <w:lvl w:ilvl="0">
      <w:lvlJc w:val="left"/>
      <w:lvlText w:val="%1."/>
      <w:numFmt w:val="decimal"/>
      <w:start w:val="18"/>
    </w:lvl>
    <w:lvl w:ilvl="1">
      <w:lvlJc w:val="left"/>
      <w:lvlText w:val="(%2)"/>
      <w:numFmt w:val="lowerLetter"/>
      <w:start w:val="4"/>
    </w:lvl>
  </w:abstractNum>
  <w:abstractNum w:abstractNumId="166">
    <w:nsid w:val="14217E23"/>
    <w:multiLevelType w:val="hybridMultilevel"/>
    <w:lvl w:ilvl="0">
      <w:lvlJc w:val="left"/>
      <w:lvlText w:val="%1."/>
      <w:numFmt w:val="decimal"/>
      <w:start w:val="20"/>
    </w:lvl>
  </w:abstractNum>
  <w:abstractNum w:abstractNumId="167">
    <w:nsid w:val="710757D0"/>
    <w:multiLevelType w:val="hybridMultilevel"/>
    <w:lvl w:ilvl="0">
      <w:lvlJc w:val="left"/>
      <w:lvlText w:val="%1."/>
      <w:numFmt w:val="decimal"/>
      <w:start w:val="20"/>
    </w:lvl>
  </w:abstractNum>
  <w:abstractNum w:abstractNumId="168">
    <w:nsid w:val="5015CD1A"/>
    <w:multiLevelType w:val="hybridMultilevel"/>
    <w:lvl w:ilvl="0">
      <w:lvlJc w:val="left"/>
      <w:lvlText w:val="(%1)"/>
      <w:numFmt w:val="decimal"/>
      <w:start w:val="1"/>
    </w:lvl>
  </w:abstractNum>
  <w:abstractNum w:abstractNumId="169">
    <w:nsid w:val="424479DA"/>
    <w:multiLevelType w:val="hybridMultilevel"/>
    <w:lvl w:ilvl="0">
      <w:lvlJc w:val="left"/>
      <w:lvlText w:val="%1."/>
      <w:numFmt w:val="decimal"/>
      <w:start w:val="21"/>
    </w:lvl>
  </w:abstractNum>
  <w:abstractNum w:abstractNumId="170">
    <w:nsid w:val="1A9A9E69"/>
    <w:multiLevelType w:val="hybridMultilevel"/>
    <w:lvl w:ilvl="0">
      <w:lvlJc w:val="left"/>
      <w:lvlText w:val="%1."/>
      <w:numFmt w:val="decimal"/>
      <w:start w:val="22"/>
    </w:lvl>
    <w:lvl w:ilvl="1">
      <w:lvlJc w:val="left"/>
      <w:lvlText w:val="(%2)"/>
      <w:numFmt w:val="lowerLetter"/>
      <w:start w:val="1"/>
    </w:lvl>
  </w:abstractNum>
  <w:abstractNum w:abstractNumId="171">
    <w:nsid w:val="475E256A"/>
    <w:multiLevelType w:val="hybridMultilevel"/>
    <w:lvl w:ilvl="0">
      <w:lvlJc w:val="left"/>
      <w:lvlText w:val="(%1)"/>
      <w:numFmt w:val="lowerLetter"/>
      <w:start w:val="2"/>
    </w:lvl>
  </w:abstractNum>
  <w:abstractNum w:abstractNumId="172">
    <w:nsid w:val="368DB37E"/>
    <w:multiLevelType w:val="hybridMultilevel"/>
    <w:lvl w:ilvl="0">
      <w:lvlJc w:val="left"/>
      <w:lvlText w:val="●"/>
      <w:numFmt w:val="bullet"/>
      <w:start w:val="1"/>
    </w:lvl>
  </w:abstractNum>
  <w:abstractNum w:abstractNumId="173">
    <w:nsid w:val="6A3B714C"/>
    <w:multiLevelType w:val="hybridMultilevel"/>
    <w:lvl w:ilvl="0">
      <w:lvlJc w:val="left"/>
      <w:lvlText w:val="*"/>
      <w:numFmt w:val="bullet"/>
      <w:start w:val="1"/>
    </w:lvl>
  </w:abstractNum>
  <w:abstractNum w:abstractNumId="174">
    <w:nsid w:val="327B517E"/>
    <w:multiLevelType w:val="hybridMultilevel"/>
    <w:lvl w:ilvl="0">
      <w:lvlJc w:val="left"/>
      <w:lvlText w:val="#"/>
      <w:numFmt w:val="bullet"/>
      <w:start w:val="1"/>
    </w:lvl>
  </w:abstractNum>
  <w:abstractNum w:abstractNumId="175">
    <w:nsid w:val="1F461B51"/>
    <w:multiLevelType w:val="hybridMultilevel"/>
    <w:lvl w:ilvl="0">
      <w:lvlJc w:val="left"/>
      <w:lvlText w:val="†"/>
      <w:numFmt w:val="bullet"/>
      <w:start w:val="1"/>
    </w:lvl>
  </w:abstractNum>
  <w:abstractNum w:abstractNumId="176">
    <w:nsid w:val="29BACF25"/>
    <w:multiLevelType w:val="hybridMultilevel"/>
    <w:lvl w:ilvl="0">
      <w:lvlJc w:val="left"/>
      <w:lvlText w:val="††"/>
      <w:numFmt w:val="bullet"/>
      <w:start w:val="1"/>
    </w:lvl>
  </w:abstractNum>
  <w:abstractNum w:abstractNumId="177">
    <w:nsid w:val="5D5BABB3"/>
    <w:multiLevelType w:val="hybridMultilevel"/>
    <w:lvl w:ilvl="0">
      <w:lvlJc w:val="left"/>
      <w:lvlText w:val="(%1)"/>
      <w:numFmt w:val="decimal"/>
      <w:start w:val="1"/>
    </w:lvl>
    <w:lvl w:ilvl="1">
      <w:lvlJc w:val="left"/>
      <w:lvlText w:val="(%2)"/>
      <w:numFmt w:val="lowerRoman"/>
      <w:start w:val="1"/>
    </w:lvl>
  </w:abstractNum>
  <w:abstractNum w:abstractNumId="178">
    <w:nsid w:val="51BF6B48"/>
    <w:multiLevelType w:val="hybridMultilevel"/>
    <w:lvl w:ilvl="0">
      <w:lvlJc w:val="left"/>
      <w:lvlText w:val="(%1)"/>
      <w:numFmt w:val="decimal"/>
      <w:start w:val="5"/>
    </w:lvl>
    <w:lvl w:ilvl="1">
      <w:lvlJc w:val="left"/>
      <w:lvlText w:val="(%2)"/>
      <w:numFmt w:val="lowerRoman"/>
      <w:start w:val="1"/>
    </w:lvl>
  </w:abstractNum>
  <w:abstractNum w:abstractNumId="179">
    <w:nsid w:val="7E0F6384"/>
    <w:multiLevelType w:val="hybridMultilevel"/>
    <w:lvl w:ilvl="0">
      <w:lvlJc w:val="left"/>
      <w:lvlText w:val="(%1)"/>
      <w:numFmt w:val="lowerLetter"/>
      <w:start w:val="1"/>
    </w:lvl>
  </w:abstractNum>
  <w:abstractNum w:abstractNumId="180">
    <w:nsid w:val="2B4B8B53"/>
    <w:multiLevelType w:val="hybridMultilevel"/>
    <w:lvl w:ilvl="0">
      <w:lvlJc w:val="left"/>
      <w:lvlText w:val="%1."/>
      <w:numFmt w:val="upperLetter"/>
      <w:start w:val="9"/>
    </w:lvl>
  </w:abstractNum>
  <w:abstractNum w:abstractNumId="181">
    <w:nsid w:val="72E3413A"/>
    <w:multiLevelType w:val="hybridMultilevel"/>
    <w:lvl w:ilvl="0">
      <w:lvlJc w:val="left"/>
      <w:lvlText w:val="(%1)"/>
      <w:numFmt w:val="lowerLetter"/>
      <w:start w:val="1"/>
    </w:lvl>
  </w:abstractNum>
  <w:abstractNum w:abstractNumId="182">
    <w:nsid w:val="116AE494"/>
    <w:multiLevelType w:val="hybridMultilevel"/>
    <w:lvl w:ilvl="0">
      <w:lvlJc w:val="left"/>
      <w:lvlText w:val="(%1)"/>
      <w:numFmt w:val="lowerLetter"/>
      <w:start w:val="3"/>
    </w:lvl>
  </w:abstractNum>
  <w:abstractNum w:abstractNumId="183">
    <w:nsid w:val="3494B2FB"/>
    <w:multiLevelType w:val="hybridMultilevel"/>
    <w:lvl w:ilvl="0">
      <w:lvlJc w:val="left"/>
      <w:lvlText w:val="%1."/>
      <w:numFmt w:val="upperLetter"/>
      <w:start w:val="35"/>
    </w:lvl>
  </w:abstractNum>
  <w:abstractNum w:abstractNumId="184">
    <w:nsid w:val="B13A31"/>
    <w:multiLevelType w:val="hybridMultilevel"/>
    <w:lvl w:ilvl="0">
      <w:lvlJc w:val="left"/>
      <w:lvlText w:val="(%1)"/>
      <w:numFmt w:val="lowerLetter"/>
      <w:start w:val="1"/>
    </w:lvl>
  </w:abstractNum>
  <w:abstractNum w:abstractNumId="185">
    <w:nsid w:val="64429599"/>
    <w:multiLevelType w:val="hybridMultilevel"/>
    <w:lvl w:ilvl="0">
      <w:lvlJc w:val="left"/>
      <w:lvlText w:val="%1."/>
      <w:numFmt w:val="upperLetter"/>
      <w:start w:val="61"/>
    </w:lvl>
  </w:abstractNum>
  <w:abstractNum w:abstractNumId="186">
    <w:nsid w:val="631F1690"/>
    <w:multiLevelType w:val="hybridMultilevel"/>
    <w:lvl w:ilvl="0">
      <w:lvlJc w:val="left"/>
      <w:lvlText w:val="%1"/>
      <w:numFmt w:val="upperLetter"/>
      <w:start w:val="1"/>
    </w:lvl>
    <w:lvl w:ilvl="1">
      <w:lvlJc w:val="left"/>
      <w:lvlText w:val="%2."/>
      <w:numFmt w:val="decimal"/>
      <w:start w:val="1"/>
    </w:lvl>
  </w:abstractNum>
  <w:abstractNum w:abstractNumId="187">
    <w:nsid w:val="25973E32"/>
    <w:multiLevelType w:val="hybridMultilevel"/>
    <w:lvl w:ilvl="0">
      <w:lvlJc w:val="left"/>
      <w:lvlText w:val="●"/>
      <w:numFmt w:val="bullet"/>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90"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jpeg"/><Relationship Id="rId308" Type="http://schemas.openxmlformats.org/officeDocument/2006/relationships/image" Target="media/image281.jpeg"/><Relationship Id="rId309" Type="http://schemas.openxmlformats.org/officeDocument/2006/relationships/image" Target="media/image282.png"/><Relationship Id="rId310" Type="http://schemas.openxmlformats.org/officeDocument/2006/relationships/image" Target="media/image283.jpeg"/><Relationship Id="rId311" Type="http://schemas.openxmlformats.org/officeDocument/2006/relationships/image" Target="media/image284.png"/><Relationship Id="rId312" Type="http://schemas.openxmlformats.org/officeDocument/2006/relationships/image" Target="media/image285.jpeg"/><Relationship Id="rId313" Type="http://schemas.openxmlformats.org/officeDocument/2006/relationships/image" Target="media/image286.png"/><Relationship Id="rId314" Type="http://schemas.openxmlformats.org/officeDocument/2006/relationships/image" Target="media/image287.png"/><Relationship Id="rId315" Type="http://schemas.openxmlformats.org/officeDocument/2006/relationships/image" Target="media/image288.png"/><Relationship Id="rId278" Type="http://schemas.openxmlformats.org/officeDocument/2006/relationships/hyperlink" Target="https://www.sec.gov/Archives/edgar/data/2097162/000121390026019023/ea0266307-05.htm#T337" TargetMode="External"/><Relationship Id="rId279" Type="http://schemas.openxmlformats.org/officeDocument/2006/relationships/hyperlink" Target="https://www.sec.gov/Archives/edgar/data/2097163/000121390026038614/ea028394601ex1-1.htm" TargetMode="External"/><Relationship Id="rId280" Type="http://schemas.openxmlformats.org/officeDocument/2006/relationships/hyperlink" Target="https://www.sec.gov/Archives/edgar/data/2097163/000121390026038614/ea028394601ex1-2.htm" TargetMode="External"/><Relationship Id="rId281" Type="http://schemas.openxmlformats.org/officeDocument/2006/relationships/hyperlink" Target="https://www.sec.gov/Archives/edgar/data/2097163/000121390026038614/ea028394601ex2-2.htm" TargetMode="External"/><Relationship Id="rId282" Type="http://schemas.openxmlformats.org/officeDocument/2006/relationships/hyperlink" Target="https://www.sec.gov/Archives/edgar/data/2097163/000121390026038614/ea028394601ex2-3.htm" TargetMode="External"/><Relationship Id="rId283" Type="http://schemas.openxmlformats.org/officeDocument/2006/relationships/hyperlink" Target="https://www.sec.gov/Archives/edgar/data/2054174/000121390025104918/ea026354401ex10-1_crane.htm" TargetMode="External"/><Relationship Id="rId284" Type="http://schemas.openxmlformats.org/officeDocument/2006/relationships/hyperlink" Target="https://www.sec.gov/Archives/edgar/data/2054174/000121390025104918/ea026354401ex10-2_crane.htm" TargetMode="External"/><Relationship Id="rId285" Type="http://schemas.openxmlformats.org/officeDocument/2006/relationships/hyperlink" Target="http://www.sec.gov/Archives/edgar/data/2097162/000121390026019023/ea026630705ex10-16_xanadu.htm" TargetMode="External"/><Relationship Id="rId286" Type="http://schemas.openxmlformats.org/officeDocument/2006/relationships/hyperlink" Target="http://www.sec.gov/Archives/edgar/data/2097162/000121390026019023/ea026630705ex10-17_xanadu.htm" TargetMode="External"/><Relationship Id="rId287" Type="http://schemas.openxmlformats.org/officeDocument/2006/relationships/hyperlink" Target="http://www.sec.gov/Archives/edgar/data/2054174/000121390025104918/ea026354401ex10-3_crane.htm" TargetMode="External"/><Relationship Id="rId288" Type="http://schemas.openxmlformats.org/officeDocument/2006/relationships/hyperlink" Target="https://www.sec.gov/Archives/edgar/data/2097163/000121390026038614/ea028394601ex4-8.htm" TargetMode="External"/><Relationship Id="rId289" Type="http://schemas.openxmlformats.org/officeDocument/2006/relationships/hyperlink" Target="http://www.sec.gov/Archives/edgar/data/2097162/000121390026019023/ea026630705ex10-18_xanadu.htm" TargetMode="External"/><Relationship Id="rId291" Type="http://schemas.openxmlformats.org/officeDocument/2006/relationships/hyperlink" Target="https://www.sec.gov/Archives/edgar/data/2097163/000121390026038614/ea028394601ex4-10.htm" TargetMode="External"/><Relationship Id="rId292" Type="http://schemas.openxmlformats.org/officeDocument/2006/relationships/hyperlink" Target="http://www.sec.gov/Archives/edgar/data/2097162/000121390026019023/ea026630705ex10-19_xanadu.htm" TargetMode="External"/><Relationship Id="rId293" Type="http://schemas.openxmlformats.org/officeDocument/2006/relationships/hyperlink" Target="http://www.sec.gov/Archives/edgar/data/2097162/000121390026019023/ea026630705ex10-20_xanadu.htm" TargetMode="External"/><Relationship Id="rId294" Type="http://schemas.openxmlformats.org/officeDocument/2006/relationships/hyperlink" Target="http://www.sec.gov/Archives/edgar/data/2097162/000121390026019023/ea026630705ex10-21_xanadu.htm" TargetMode="External"/><Relationship Id="rId295" Type="http://schemas.openxmlformats.org/officeDocument/2006/relationships/hyperlink" Target="http://www.sec.gov/Archives/edgar/data/2097162/000121390026019023/ea026630705ex10-22_xanadu.htm" TargetMode="External"/><Relationship Id="rId296" Type="http://schemas.openxmlformats.org/officeDocument/2006/relationships/hyperlink" Target="http://www.sec.gov/Archives/edgar/data/2097162/000121390026019023/ea026630705ex10-23_xanadu.htm" TargetMode="External"/><Relationship Id="rId297" Type="http://schemas.openxmlformats.org/officeDocument/2006/relationships/hyperlink" Target="https://www.sec.gov/Archives/edgar/data/2097163/000121390026059832/ea029179101ex10-1.htm" TargetMode="External"/><Relationship Id="rId298" Type="http://schemas.openxmlformats.org/officeDocument/2006/relationships/hyperlink" Target="https://www.sec.gov/Archives/edgar/data/2097163/000121390026038614/ea028394601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2026-05-22T05:14:26Z</dcterms:created>
  <dcterms:modified xsi:type="dcterms:W3CDTF">2026-05-22T05:14:26Z</dcterms:modified>
</cp:coreProperties>
</file>