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rFonts w:ascii="Times New Roman;Times;Serif" w:hAnsi="Times New Roman;Times;Serif"/>
          <w:b/>
          <w:i w:val="false"/>
          <w:caps w:val="false"/>
          <w:smallCaps w:val="false"/>
          <w:sz w:val="20"/>
        </w:rPr>
      </w:pPr>
      <w:bookmarkStart w:id="0" w:name="ea0292850-424b3_xanadu.htm"/>
      <w:bookmarkStart w:id="1" w:name="ksea0292850424b3_xanadu"/>
      <w:bookmarkEnd w:id="0"/>
      <w:bookmarkEnd w:id="1"/>
      <w:r>
        <w:rPr>
          <w:rFonts w:ascii="Times New Roman;Times;Serif" w:hAnsi="Times New Roman;Times;Serif"/>
          <w:b/>
          <w:i w:val="false"/>
          <w:caps w:val="false"/>
          <w:smallCaps w:val="false"/>
          <w:sz w:val="20"/>
        </w:rPr>
        <w:t>Filed Pursuant to Rule 424(b)(3)</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&amp;hairsp;Registration No. 333-296148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600450" cy="942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00450" cy="9429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30,000,000 Class B Subordinate Voting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100,000 Class B Subordinate Voting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Offered by the Selling Securityholders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of up to (i) 30,000,000 subordinate voting shares, without par value (“Class B Subordinate Voting Shares”) by YA II PN, LTD., a Cayman Islands exempt limited partnership (“Yorkville”) and (ii) 100,000 Class B Subordinate Voting Shares (the “Cohen Shares”) issued to Cohen &amp; Company Securities, LLC (“Cohen” and together with Yorkville, the “Selling Securityholders”) in a private placement.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included in this prospectus include Class B Subordinate Voting Shares that we may, in our discretion, elect to issue and sell to Yorkville, from time to time after the date of this prospectus, pursuant to a standby equity purchase agreement we entered into with Yorkville on May 20, 2026 (the “SEPA”), in which Yorkville has committed to purchase from us, at our direction, up to $300,000,000 (the “Commitment Amount”) of our Class B Subordinate Voting Shares, subject to terms and conditions specified in the SEPA. As of the date of this prospectus, we have not issued any Class B Subordinate Voting Shares to Yorkville. See the section titled “Committed Equity Financing” for a description of the SEPA and the section titled “Selling Securityholders” for additional information regarding Yorkville.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registration of the securities covered by this prospectus does not mean that we will issue or that Yorkville will offer or sell any of the Class B Subordinate Voting Shares. Yorkville may offer, sell or distribute all or a portion of their Class B Subordinate Voting Shares publicly or through private transactions at prevailing market prices or at negotiated prices. We will not receive any proceeds from the sale of Class B Subordinate Voting Shares by Yorkville pursuant to this prospectus. However, we may receive up to $300,000,000 in aggregate gross proceeds (representing the full commitment amount before the application of the 2.5% discount to the Market Price (as defined below) at which Yorkville purchases shares) from sales of our Class B Subordinate Voting Shares to Yorkville that we may, in our discretion, elect to make, from time to time after the date of this prospectus, pursuant to and during the term of the SEPA. We provide more information about how Yorkville may sell or otherwise dispose of our Class B Subordinate Voting Shares in the section entitled “Plan of Distribution.” Yorkville is an “underwriter” within the meaning of Section 2(a)(11) of the Securities Act of 1933,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Cohen may offer, sell or distribute all or a portion of the securities hereby registered publicly or through private transactions at prevailing market prices or at negotiated prices. We will not receive any of the proceeds from such sales of the Class B Subordinate Voting Shares. We will bear all costs, expenses and fees in connection with the registration of these securities, including with regard to compliance with state securities or “blue sky” laws. Cohen will bear all commissions and discounts, if any, attributable to their sale of Class B Subordinate Voting Shares. See the section titled “Plan of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under U.S. federal securities laws and, as such, have elected to comply with reduced public company reporting requirements. This prospectus complies with the requirements that apply to an issuer that is an emerging growth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B Subordinate Voting Shares are listed on the Nasdaq Global Market (“Nasdaq”) under the symbol “XNDU” and on the Toronto Stock Exchange (the “TSX”) under the symbol “XNDU”. On May 29, 2026, the last reported sales price of the Class B Subordinate Voting Shares on the Nasdaq was $16.17 and the TSX was C$22.49.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as defined in the U.S. Securities Exchange Act of 1934, as amended (the “Exchange Act”), and are exempt from certain rules under the Exchange Act that impose certain disclosure obligations and procedural requirements for proxy solicitations under Section 14 of the Exchange Act. In addition, our officers, directors and principal shareholders are exempt from the “short-swing” profit recovery provisions under Section 16 of the Exchange Act. Moreover, under U.S. federal securities laws, we are not required to file periodic reports and financial statements with the U.S. Securities and Exchange Commission as frequently or as promptly as U.S. companies whose securities are registered under the Exchange Act. Additionally, Nasdaq rules allow foreign private issuers to follow home country practices in lieu of certain of Nasdaq corporate governance rules. As a result, our shareholders may not have the same protections afforded to shareholders of companies that are subject to all Nasdaq corporate governance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You should review carefully the risks and uncertainties described under the heading “Risk Factors” beginning on page 8 of this prospectus, and under similar headings in any amendments or supplements 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Securities and Exchange Commission, any state securities commission or the securities commission or regulatory authority of any Canadian province or territory has approved or disapproved of these securities, or determined if this prospectus is accurate or adequate.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June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9470"/>
        <w:gridCol w:w="60"/>
        <w:gridCol w:w="575"/>
      </w:tblGrid>
      <w:tr>
        <w:trPr/>
        <w:tc>
          <w:tcPr>
            <w:tcW w:w="94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57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9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r>
      <w:tr>
        <w:trPr/>
        <w:tc>
          <w:tcPr>
            <w:tcW w:w="947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caps/>
                  <w:sz w:val="20"/>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w:t>
            </w:r>
          </w:p>
        </w:tc>
      </w:tr>
      <w:tr>
        <w:trPr/>
        <w:tc>
          <w:tcPr>
            <w:tcW w:w="9470"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caps/>
                  <w:sz w:val="20"/>
                </w:rPr>
                <w:t>ABOUT XANADU</w:t>
              </w:r>
            </w:hyperlink>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w:t>
            </w:r>
          </w:p>
        </w:tc>
      </w:tr>
      <w:tr>
        <w:trPr/>
        <w:tc>
          <w:tcPr>
            <w:tcW w:w="947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caps/>
                  <w:sz w:val="20"/>
                </w:rPr>
                <w:t>MARKET AND INDUSTRY DATA</w:t>
              </w:r>
            </w:hyperlink>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w:t>
            </w:r>
          </w:p>
        </w:tc>
      </w:tr>
      <w:tr>
        <w:trPr/>
        <w:tc>
          <w:tcPr>
            <w:tcW w:w="9470"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caps/>
                  <w:sz w:val="20"/>
                </w:rPr>
                <w:t>TRADEMARKS AND TRADE NAMES</w:t>
              </w:r>
            </w:hyperlink>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iii</w:t>
            </w:r>
          </w:p>
        </w:tc>
      </w:tr>
      <w:tr>
        <w:trPr/>
        <w:tc>
          <w:tcPr>
            <w:tcW w:w="947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caps/>
                  <w:sz w:val="20"/>
                </w:rPr>
                <w:t>PRESENTATION OF FINANCIAL INFORMATION</w:t>
              </w:r>
            </w:hyperlink>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iii</w:t>
            </w:r>
          </w:p>
        </w:tc>
      </w:tr>
      <w:tr>
        <w:trPr/>
        <w:tc>
          <w:tcPr>
            <w:tcW w:w="9470"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caps/>
                  <w:sz w:val="20"/>
                </w:rPr>
                <w:t>NON-GAAP FINANCIAL MEASURES</w:t>
              </w:r>
            </w:hyperlink>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iv</w:t>
            </w:r>
          </w:p>
        </w:tc>
      </w:tr>
      <w:tr>
        <w:trPr/>
        <w:tc>
          <w:tcPr>
            <w:tcW w:w="947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caps/>
                  <w:sz w:val="20"/>
                </w:rPr>
                <w:t>EXCHANGE RATES</w:t>
              </w:r>
            </w:hyperlink>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iv</w:t>
            </w:r>
          </w:p>
        </w:tc>
      </w:tr>
      <w:tr>
        <w:trPr/>
        <w:tc>
          <w:tcPr>
            <w:tcW w:w="9470"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caps/>
                  <w:sz w:val="20"/>
                </w:rPr>
                <w:t>CERTAIN DEFINED TERMS</w:t>
              </w:r>
            </w:hyperlink>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w:t>
            </w:r>
          </w:p>
        </w:tc>
      </w:tr>
      <w:tr>
        <w:trPr/>
        <w:tc>
          <w:tcPr>
            <w:tcW w:w="947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caps/>
                  <w:sz w:val="20"/>
                </w:rPr>
                <w:t>CAUTIONARY NOTE REGARDING FORWARD-LOOKING STATEMENTS</w:t>
              </w:r>
            </w:hyperlink>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viii</w:t>
            </w:r>
          </w:p>
        </w:tc>
      </w:tr>
      <w:tr>
        <w:trPr/>
        <w:tc>
          <w:tcPr>
            <w:tcW w:w="9470"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caps/>
                  <w:sz w:val="20"/>
                </w:rPr>
                <w:t>SUMMARY OF PROSPECTUS</w:t>
              </w:r>
            </w:hyperlink>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1</w:t>
            </w:r>
          </w:p>
        </w:tc>
      </w:tr>
      <w:tr>
        <w:trPr/>
        <w:tc>
          <w:tcPr>
            <w:tcW w:w="9470"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caps/>
                  <w:sz w:val="20"/>
                </w:rPr>
                <w:t>THE OFFERING</w:t>
              </w:r>
            </w:hyperlink>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7</w:t>
            </w:r>
          </w:p>
        </w:tc>
      </w:tr>
      <w:tr>
        <w:trPr/>
        <w:tc>
          <w:tcPr>
            <w:tcW w:w="9470"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caps/>
                  <w:sz w:val="20"/>
                </w:rPr>
                <w:t>RISK FACTORS</w:t>
              </w:r>
            </w:hyperlink>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8</w:t>
            </w:r>
          </w:p>
        </w:tc>
      </w:tr>
      <w:tr>
        <w:trPr/>
        <w:tc>
          <w:tcPr>
            <w:tcW w:w="9470" w:type="dxa"/>
            <w:tcBorders/>
            <w:shd w:fill="CCEEFF" w:val="clear"/>
            <w:vAlign w:val="center"/>
          </w:tcPr>
          <w:p>
            <w:pPr>
              <w:pStyle w:val="TableContents"/>
              <w:bidi w:val="0"/>
              <w:spacing w:before="0" w:after="283"/>
              <w:jc w:val="left"/>
              <w:rPr/>
            </w:pPr>
            <w:hyperlink w:anchor="a_013">
              <w:r>
                <w:rPr>
                  <w:rStyle w:val="InternetLink"/>
                </w:rPr>
                <w:t>COMMITTED EQUITY FINANCING</w:t>
              </w:r>
            </w:hyperlink>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67</w:t>
            </w:r>
          </w:p>
        </w:tc>
      </w:tr>
      <w:tr>
        <w:trPr/>
        <w:tc>
          <w:tcPr>
            <w:tcW w:w="9470"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caps/>
                  <w:sz w:val="20"/>
                </w:rPr>
                <w:t>CAPITALIZATION</w:t>
              </w:r>
            </w:hyperlink>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72</w:t>
            </w:r>
          </w:p>
        </w:tc>
      </w:tr>
      <w:tr>
        <w:trPr/>
        <w:tc>
          <w:tcPr>
            <w:tcW w:w="9470"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caps/>
                  <w:sz w:val="20"/>
                </w:rPr>
                <w:t>USE OF PROCEEDS</w:t>
              </w:r>
            </w:hyperlink>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73</w:t>
            </w:r>
          </w:p>
        </w:tc>
      </w:tr>
      <w:tr>
        <w:trPr/>
        <w:tc>
          <w:tcPr>
            <w:tcW w:w="9470" w:type="dxa"/>
            <w:tcBorders/>
            <w:shd w:fill="FFFF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UNAUDITED PRO FORMA CONDENSED COMBINED FINANCIAL INFORMATION</w:t>
              </w:r>
            </w:hyperlink>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74</w:t>
            </w:r>
          </w:p>
        </w:tc>
      </w:tr>
      <w:tr>
        <w:trPr/>
        <w:tc>
          <w:tcPr>
            <w:tcW w:w="9470" w:type="dxa"/>
            <w:tcBorders/>
            <w:shd w:fill="CCEEFF" w:val="clear"/>
            <w:vAlign w:val="center"/>
          </w:tcPr>
          <w:p>
            <w:pPr>
              <w:pStyle w:val="TableContents"/>
              <w:bidi w:val="0"/>
              <w:spacing w:before="0" w:after="283"/>
              <w:jc w:val="left"/>
              <w:rPr/>
            </w:pPr>
            <w:hyperlink w:anchor="a_017">
              <w:r>
                <w:rPr>
                  <w:rStyle w:val="InternetLink"/>
                </w:rPr>
                <w:t>DIVIDEND POLICY</w:t>
              </w:r>
            </w:hyperlink>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w:t>
            </w:r>
          </w:p>
        </w:tc>
      </w:tr>
      <w:tr>
        <w:trPr/>
        <w:tc>
          <w:tcPr>
            <w:tcW w:w="9470" w:type="dxa"/>
            <w:tcBorders/>
            <w:shd w:fill="FFFFFF" w:val="clear"/>
            <w:vAlign w:val="center"/>
          </w:tcPr>
          <w:p>
            <w:pPr>
              <w:pStyle w:val="TableContents"/>
              <w:bidi w:val="0"/>
              <w:spacing w:before="0" w:after="283"/>
              <w:jc w:val="left"/>
              <w:rPr/>
            </w:pPr>
            <w:hyperlink w:anchor="a_018">
              <w:r>
                <w:rPr>
                  <w:rStyle w:val="InternetLink"/>
                  <w:rFonts w:ascii="Times New Roman;Times;Serif" w:hAnsi="Times New Roman;Times;Serif"/>
                  <w:caps/>
                  <w:sz w:val="20"/>
                </w:rPr>
                <w:t xml:space="preserve">BUSINESS </w:t>
              </w:r>
            </w:hyperlink>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w:t>
            </w:r>
          </w:p>
        </w:tc>
      </w:tr>
      <w:tr>
        <w:trPr/>
        <w:tc>
          <w:tcPr>
            <w:tcW w:w="9470"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caps/>
                  <w:sz w:val="20"/>
                </w:rPr>
                <w:t>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99</w:t>
            </w:r>
          </w:p>
        </w:tc>
      </w:tr>
      <w:tr>
        <w:trPr/>
        <w:tc>
          <w:tcPr>
            <w:tcW w:w="9470" w:type="dxa"/>
            <w:tcBorders/>
            <w:shd w:fill="FFFFFF" w:val="clear"/>
            <w:vAlign w:val="center"/>
          </w:tcPr>
          <w:p>
            <w:pPr>
              <w:pStyle w:val="TableContents"/>
              <w:bidi w:val="0"/>
              <w:spacing w:before="0" w:after="283"/>
              <w:jc w:val="left"/>
              <w:rPr/>
            </w:pPr>
            <w:hyperlink w:anchor="a_020">
              <w:r>
                <w:rPr>
                  <w:rStyle w:val="InternetLink"/>
                  <w:rFonts w:ascii="Times New Roman;Times;Serif" w:hAnsi="Times New Roman;Times;Serif"/>
                  <w:caps/>
                  <w:sz w:val="20"/>
                </w:rPr>
                <w:t>MANAGEMENT</w:t>
              </w:r>
            </w:hyperlink>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116</w:t>
            </w:r>
          </w:p>
        </w:tc>
      </w:tr>
      <w:tr>
        <w:trPr/>
        <w:tc>
          <w:tcPr>
            <w:tcW w:w="9470" w:type="dxa"/>
            <w:tcBorders/>
            <w:shd w:fill="CCEEFF" w:val="clear"/>
            <w:vAlign w:val="center"/>
          </w:tcPr>
          <w:p>
            <w:pPr>
              <w:pStyle w:val="TableContents"/>
              <w:bidi w:val="0"/>
              <w:spacing w:before="0" w:after="283"/>
              <w:jc w:val="left"/>
              <w:rPr/>
            </w:pPr>
            <w:hyperlink w:anchor="a_021">
              <w:r>
                <w:rPr>
                  <w:rStyle w:val="InternetLink"/>
                  <w:rFonts w:ascii="Times New Roman;Times;Serif" w:hAnsi="Times New Roman;Times;Serif"/>
                  <w:caps/>
                  <w:sz w:val="20"/>
                </w:rPr>
                <w:t>EXECUTIVE COMPENSATION</w:t>
              </w:r>
            </w:hyperlink>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130</w:t>
            </w:r>
          </w:p>
        </w:tc>
      </w:tr>
      <w:tr>
        <w:trPr/>
        <w:tc>
          <w:tcPr>
            <w:tcW w:w="9470" w:type="dxa"/>
            <w:tcBorders/>
            <w:shd w:fill="FFFFFF" w:val="clear"/>
            <w:vAlign w:val="center"/>
          </w:tcPr>
          <w:p>
            <w:pPr>
              <w:pStyle w:val="TableContents"/>
              <w:bidi w:val="0"/>
              <w:spacing w:before="0" w:after="283"/>
              <w:jc w:val="left"/>
              <w:rPr/>
            </w:pPr>
            <w:hyperlink w:anchor="a_022">
              <w:r>
                <w:rPr>
                  <w:rStyle w:val="InternetLink"/>
                  <w:rFonts w:ascii="Times New Roman;Times;Serif" w:hAnsi="Times New Roman;Times;Serif"/>
                  <w:caps/>
                  <w:sz w:val="20"/>
                </w:rPr>
                <w:t>DESCRIPTION OF SHARE CAPITAL</w:t>
              </w:r>
            </w:hyperlink>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148</w:t>
            </w:r>
          </w:p>
        </w:tc>
      </w:tr>
      <w:tr>
        <w:trPr/>
        <w:tc>
          <w:tcPr>
            <w:tcW w:w="9470" w:type="dxa"/>
            <w:tcBorders/>
            <w:shd w:fill="CCEEFF" w:val="clear"/>
            <w:vAlign w:val="center"/>
          </w:tcPr>
          <w:p>
            <w:pPr>
              <w:pStyle w:val="TableContents"/>
              <w:bidi w:val="0"/>
              <w:spacing w:before="0" w:after="283"/>
              <w:jc w:val="left"/>
              <w:rPr/>
            </w:pPr>
            <w:hyperlink w:anchor="a_023">
              <w:r>
                <w:rPr>
                  <w:rStyle w:val="InternetLink"/>
                  <w:rFonts w:ascii="Times New Roman;Times;Serif" w:hAnsi="Times New Roman;Times;Serif"/>
                  <w:caps/>
                  <w:sz w:val="20"/>
                </w:rPr>
                <w:t>BENEFICIAL OWNERSHIP OF THE COMPANY’S SECURITIES</w:t>
              </w:r>
            </w:hyperlink>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153</w:t>
            </w:r>
          </w:p>
        </w:tc>
      </w:tr>
      <w:tr>
        <w:trPr/>
        <w:tc>
          <w:tcPr>
            <w:tcW w:w="9470" w:type="dxa"/>
            <w:tcBorders/>
            <w:shd w:fill="FFFFFF" w:val="clear"/>
            <w:vAlign w:val="center"/>
          </w:tcPr>
          <w:p>
            <w:pPr>
              <w:pStyle w:val="TableContents"/>
              <w:bidi w:val="0"/>
              <w:spacing w:before="0" w:after="283"/>
              <w:jc w:val="left"/>
              <w:rPr/>
            </w:pPr>
            <w:hyperlink w:anchor="a_024">
              <w:r>
                <w:rPr>
                  <w:rStyle w:val="InternetLink"/>
                  <w:rFonts w:ascii="Times New Roman;Times;Serif" w:hAnsi="Times New Roman;Times;Serif"/>
                  <w:caps/>
                  <w:sz w:val="20"/>
                </w:rPr>
                <w:t>SHARES ELIGIBLE FOR FUTURE SALE</w:t>
              </w:r>
            </w:hyperlink>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156</w:t>
            </w:r>
          </w:p>
        </w:tc>
      </w:tr>
      <w:tr>
        <w:trPr/>
        <w:tc>
          <w:tcPr>
            <w:tcW w:w="9470" w:type="dxa"/>
            <w:tcBorders/>
            <w:shd w:fill="CCEEFF" w:val="clear"/>
            <w:vAlign w:val="center"/>
          </w:tcPr>
          <w:p>
            <w:pPr>
              <w:pStyle w:val="TableContents"/>
              <w:bidi w:val="0"/>
              <w:spacing w:before="0" w:after="283"/>
              <w:jc w:val="left"/>
              <w:rPr/>
            </w:pPr>
            <w:hyperlink w:anchor="a_025">
              <w:r>
                <w:rPr>
                  <w:rStyle w:val="InternetLink"/>
                  <w:rFonts w:ascii="Times New Roman;Times;Serif" w:hAnsi="Times New Roman;Times;Serif"/>
                  <w:caps/>
                  <w:sz w:val="20"/>
                </w:rPr>
                <w:t>SELLING SECURITYHOLDERS</w:t>
              </w:r>
            </w:hyperlink>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158</w:t>
            </w:r>
          </w:p>
        </w:tc>
      </w:tr>
      <w:tr>
        <w:trPr/>
        <w:tc>
          <w:tcPr>
            <w:tcW w:w="9470" w:type="dxa"/>
            <w:tcBorders/>
            <w:shd w:fill="FFFFFF" w:val="clear"/>
            <w:vAlign w:val="center"/>
          </w:tcPr>
          <w:p>
            <w:pPr>
              <w:pStyle w:val="TableContents"/>
              <w:bidi w:val="0"/>
              <w:spacing w:before="0" w:after="283"/>
              <w:jc w:val="left"/>
              <w:rPr/>
            </w:pPr>
            <w:hyperlink w:anchor="a_026">
              <w:r>
                <w:rPr>
                  <w:rStyle w:val="InternetLink"/>
                  <w:rFonts w:ascii="Times New Roman;Times;Serif" w:hAnsi="Times New Roman;Times;Serif"/>
                  <w:caps/>
                  <w:sz w:val="20"/>
                </w:rPr>
                <w:t>CERTAIN RELATIONSHIPS AND RELATED PARTY TRANSACTIONS</w:t>
              </w:r>
            </w:hyperlink>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159</w:t>
            </w:r>
          </w:p>
        </w:tc>
      </w:tr>
      <w:tr>
        <w:trPr/>
        <w:tc>
          <w:tcPr>
            <w:tcW w:w="9470" w:type="dxa"/>
            <w:tcBorders/>
            <w:shd w:fill="CCEEFF" w:val="clear"/>
            <w:vAlign w:val="center"/>
          </w:tcPr>
          <w:p>
            <w:pPr>
              <w:pStyle w:val="TableContents"/>
              <w:bidi w:val="0"/>
              <w:spacing w:before="0" w:after="283"/>
              <w:jc w:val="left"/>
              <w:rPr/>
            </w:pPr>
            <w:hyperlink w:anchor="a_027">
              <w:r>
                <w:rPr>
                  <w:rStyle w:val="InternetLink"/>
                  <w:rFonts w:ascii="Times New Roman;Times;Serif" w:hAnsi="Times New Roman;Times;Serif"/>
                  <w:caps/>
                  <w:sz w:val="20"/>
                </w:rPr>
                <w:t>MATERIAL U.S. FEDERAL INCOME TAX CONSIDERATIONS FOR U.S. HOLDERS</w:t>
              </w:r>
            </w:hyperlink>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162</w:t>
            </w:r>
          </w:p>
        </w:tc>
      </w:tr>
      <w:tr>
        <w:trPr/>
        <w:tc>
          <w:tcPr>
            <w:tcW w:w="9470" w:type="dxa"/>
            <w:tcBorders/>
            <w:shd w:fill="FFFFFF" w:val="clear"/>
            <w:vAlign w:val="center"/>
          </w:tcPr>
          <w:p>
            <w:pPr>
              <w:pStyle w:val="TableContents"/>
              <w:bidi w:val="0"/>
              <w:spacing w:before="0" w:after="283"/>
              <w:jc w:val="left"/>
              <w:rPr/>
            </w:pPr>
            <w:hyperlink w:anchor="a_028">
              <w:r>
                <w:rPr>
                  <w:rStyle w:val="InternetLink"/>
                  <w:rFonts w:ascii="Times New Roman;Times;Serif" w:hAnsi="Times New Roman;Times;Serif"/>
                  <w:caps/>
                  <w:sz w:val="20"/>
                </w:rPr>
                <w:t>MATERIAL CANADIAN TAX CONSIDERATIONS</w:t>
              </w:r>
            </w:hyperlink>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167</w:t>
            </w:r>
          </w:p>
        </w:tc>
      </w:tr>
      <w:tr>
        <w:trPr/>
        <w:tc>
          <w:tcPr>
            <w:tcW w:w="9470" w:type="dxa"/>
            <w:tcBorders/>
            <w:shd w:fill="CCEEFF" w:val="clear"/>
            <w:vAlign w:val="center"/>
          </w:tcPr>
          <w:p>
            <w:pPr>
              <w:pStyle w:val="TableContents"/>
              <w:bidi w:val="0"/>
              <w:spacing w:before="0" w:after="283"/>
              <w:jc w:val="left"/>
              <w:rPr/>
            </w:pPr>
            <w:hyperlink w:anchor="a_029">
              <w:r>
                <w:rPr>
                  <w:rStyle w:val="InternetLink"/>
                  <w:rFonts w:ascii="Times New Roman;Times;Serif" w:hAnsi="Times New Roman;Times;Serif"/>
                  <w:caps/>
                  <w:sz w:val="20"/>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169</w:t>
            </w:r>
          </w:p>
        </w:tc>
      </w:tr>
      <w:tr>
        <w:trPr/>
        <w:tc>
          <w:tcPr>
            <w:tcW w:w="9470" w:type="dxa"/>
            <w:tcBorders/>
            <w:shd w:fill="FFFFFF" w:val="clear"/>
            <w:vAlign w:val="center"/>
          </w:tcPr>
          <w:p>
            <w:pPr>
              <w:pStyle w:val="TableContents"/>
              <w:bidi w:val="0"/>
              <w:spacing w:before="0" w:after="283"/>
              <w:jc w:val="left"/>
              <w:rPr/>
            </w:pPr>
            <w:hyperlink w:anchor="a_030">
              <w:r>
                <w:rPr>
                  <w:rStyle w:val="InternetLink"/>
                  <w:rFonts w:ascii="Times New Roman;Times;Serif" w:hAnsi="Times New Roman;Times;Serif"/>
                  <w:caps/>
                  <w:sz w:val="20"/>
                </w:rPr>
                <w:t>EXPENSES RELATED TO THE OFFERING</w:t>
              </w:r>
            </w:hyperlink>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171</w:t>
            </w:r>
          </w:p>
        </w:tc>
      </w:tr>
      <w:tr>
        <w:trPr/>
        <w:tc>
          <w:tcPr>
            <w:tcW w:w="9470" w:type="dxa"/>
            <w:tcBorders/>
            <w:shd w:fill="CCEEFF" w:val="clear"/>
            <w:vAlign w:val="center"/>
          </w:tcPr>
          <w:p>
            <w:pPr>
              <w:pStyle w:val="TableContents"/>
              <w:bidi w:val="0"/>
              <w:spacing w:before="0" w:after="283"/>
              <w:jc w:val="left"/>
              <w:rPr/>
            </w:pPr>
            <w:hyperlink w:anchor="a_031">
              <w:r>
                <w:rPr>
                  <w:rStyle w:val="InternetLink"/>
                  <w:rFonts w:ascii="Times New Roman;Times;Serif" w:hAnsi="Times New Roman;Times;Serif"/>
                  <w:caps/>
                  <w:sz w:val="20"/>
                </w:rPr>
                <w:t>LEGAL MATTERS</w:t>
              </w:r>
            </w:hyperlink>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171</w:t>
            </w:r>
          </w:p>
        </w:tc>
      </w:tr>
      <w:tr>
        <w:trPr/>
        <w:tc>
          <w:tcPr>
            <w:tcW w:w="9470" w:type="dxa"/>
            <w:tcBorders/>
            <w:shd w:fill="FFFFFF" w:val="clear"/>
            <w:vAlign w:val="center"/>
          </w:tcPr>
          <w:p>
            <w:pPr>
              <w:pStyle w:val="TableContents"/>
              <w:bidi w:val="0"/>
              <w:spacing w:before="0" w:after="283"/>
              <w:jc w:val="left"/>
              <w:rPr/>
            </w:pPr>
            <w:hyperlink w:anchor="a_032">
              <w:r>
                <w:rPr>
                  <w:rStyle w:val="InternetLink"/>
                  <w:rFonts w:ascii="Times New Roman;Times;Serif" w:hAnsi="Times New Roman;Times;Serif"/>
                  <w:caps/>
                  <w:sz w:val="20"/>
                </w:rPr>
                <w:t>EXPERTS</w:t>
              </w:r>
            </w:hyperlink>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171</w:t>
            </w:r>
          </w:p>
        </w:tc>
      </w:tr>
      <w:tr>
        <w:trPr/>
        <w:tc>
          <w:tcPr>
            <w:tcW w:w="9470" w:type="dxa"/>
            <w:tcBorders/>
            <w:shd w:fill="CCEEFF" w:val="clear"/>
            <w:vAlign w:val="center"/>
          </w:tcPr>
          <w:p>
            <w:pPr>
              <w:pStyle w:val="TableContents"/>
              <w:bidi w:val="0"/>
              <w:spacing w:before="0" w:after="283"/>
              <w:jc w:val="left"/>
              <w:rPr/>
            </w:pPr>
            <w:hyperlink w:anchor="a_033">
              <w:r>
                <w:rPr>
                  <w:rStyle w:val="InternetLink"/>
                  <w:rFonts w:ascii="Times New Roman;Times;Serif" w:hAnsi="Times New Roman;Times;Serif"/>
                  <w:caps/>
                  <w:sz w:val="20"/>
                </w:rPr>
                <w:t>SERVICE OF PROCESS AND ENFORCEABILITY OF CIVIL LIABILITIES UNDER U.S. SECURITIES LAWS</w:t>
              </w:r>
            </w:hyperlink>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172</w:t>
            </w:r>
          </w:p>
        </w:tc>
      </w:tr>
      <w:tr>
        <w:trPr/>
        <w:tc>
          <w:tcPr>
            <w:tcW w:w="9470" w:type="dxa"/>
            <w:tcBorders/>
            <w:shd w:fill="FFFFFF" w:val="clear"/>
            <w:vAlign w:val="center"/>
          </w:tcPr>
          <w:p>
            <w:pPr>
              <w:pStyle w:val="TableContents"/>
              <w:bidi w:val="0"/>
              <w:spacing w:before="0" w:after="283"/>
              <w:jc w:val="left"/>
              <w:rPr/>
            </w:pPr>
            <w:hyperlink w:anchor="a_034">
              <w:r>
                <w:rPr>
                  <w:rStyle w:val="InternetLink"/>
                  <w:rFonts w:ascii="Times New Roman;Times;Serif" w:hAnsi="Times New Roman;Times;Serif"/>
                  <w:caps/>
                  <w:sz w:val="20"/>
                </w:rPr>
                <w:t>WHERE YOU CAN FIND MORE INFORMATION</w:t>
              </w:r>
            </w:hyperlink>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172</w:t>
            </w:r>
          </w:p>
        </w:tc>
      </w:tr>
      <w:tr>
        <w:trPr/>
        <w:tc>
          <w:tcPr>
            <w:tcW w:w="9470" w:type="dxa"/>
            <w:tcBorders/>
            <w:shd w:fill="CCEEFF" w:val="clear"/>
            <w:vAlign w:val="center"/>
          </w:tcPr>
          <w:p>
            <w:pPr>
              <w:pStyle w:val="TableContents"/>
              <w:bidi w:val="0"/>
              <w:spacing w:before="0" w:after="283"/>
              <w:jc w:val="left"/>
              <w:rPr/>
            </w:pPr>
            <w:hyperlink w:anchor="a_035">
              <w:r>
                <w:rPr>
                  <w:rStyle w:val="InternetLink"/>
                  <w:rFonts w:ascii="Times New Roman;Times;Serif" w:hAnsi="Times New Roman;Times;Serif"/>
                  <w:caps/>
                  <w:sz w:val="20"/>
                </w:rPr>
                <w:t>INDEX TO CONSOLIDATED FINANCIAL INFORMATION</w:t>
              </w:r>
            </w:hyperlink>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one has been authorized to provide you with information that is different from that contained in this prospectus or any free writing prospectus filed by us. This prospectus is dated as of the date set forth on the cover hereof. You should not assume that the information contained in this prospectus is accurate as of any date other than that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as otherwise set forth in this prospectus, we have not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p>
    <w:p>
      <w:pPr>
        <w:pStyle w:val="TextBody"/>
        <w:bidi w:val="0"/>
        <w:spacing w:before="0" w:after="0"/>
        <w:ind w:left="0" w:right="0" w:hanging="0"/>
        <w:jc w:val="left"/>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jc w:val="center"/>
        <w:rPr/>
      </w:pPr>
      <w:r>
        <w:rPr/>
        <w:t> </w:t>
      </w:r>
    </w:p>
    <w:p>
      <w:pPr>
        <w:pStyle w:val="TextBody"/>
        <w:bidi w:val="0"/>
        <w:spacing w:before="0" w:after="0"/>
        <w:ind w:left="0" w:right="0" w:hanging="0"/>
        <w:jc w:val="center"/>
        <w:rPr>
          <w:caps/>
          <w:shd w:fill="FFFFFF" w:val="clear"/>
        </w:rPr>
      </w:pPr>
      <w:r>
        <w:rPr>
          <w:caps/>
          <w:shd w:fill="FFFFFF" w:val="clear"/>
        </w:rPr>
        <w:t> </w:t>
      </w:r>
    </w:p>
    <w:p>
      <w:pPr>
        <w:pStyle w:val="TextBody"/>
        <w:bidi w:val="0"/>
        <w:spacing w:before="0" w:after="0"/>
        <w:jc w:val="center"/>
        <w:rPr>
          <w:rFonts w:ascii="Times New Roman;Times;Serif" w:hAnsi="Times New Roman;Times;Serif"/>
          <w:b/>
          <w:i w:val="false"/>
          <w:caps/>
          <w:sz w:val="20"/>
          <w:shd w:fill="FFFFFF" w:val="clear"/>
        </w:rPr>
      </w:pPr>
      <w:bookmarkStart w:id="2" w:name="a_001"/>
      <w:bookmarkEnd w:id="2"/>
      <w:r>
        <w:rPr>
          <w:rFonts w:ascii="Times New Roman;Times;Serif" w:hAnsi="Times New Roman;Times;Serif"/>
          <w:b/>
          <w:i w:val="false"/>
          <w:caps/>
          <w:sz w:val="20"/>
          <w:shd w:fill="FFFFFF" w:val="clear"/>
        </w:rPr>
        <w:t>ABOUT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this prospectus, any amendment or supplement to this prospectus or any free writing prospectus prepared by us or on our behalf. Any amendment or supplement may also add, update or change information included in this prospectus. Any statement contained in this prospectus will be deemed to be modified or superseded for purposes of this prospectus to the extent that a statement contained in such amendment or supplement modifies or supersedes such statement. Any statement so modified will be deemed to constitute a part of this prospectus only as so modified, and any statement so superseded will be deemed not to constitute a part of this prospectus. See “Where You Can Find More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Securityholders have authorized any other person to provide you with different or additional information. Neither we nor the Selling Securityholders take responsibility for, nor can we provide assurance as to the reliability of, any other information that others may provide. The information contained in this prospectus is accurate only as of the date of this prospectus or such other date stated in this prospectus, and our business, financial condition, results of operations and/or prospects may have changed since those dates. This prospectus contains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in this prospectus have been filed, will be filed or will be incorporated by reference as exhibits to the registration statement of which this prospectus is a part, and you may obtain copies of those documents as described under “Where You Can Find More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Securityholders are making an offer to sell these securities in any jurisdiction where the offer or sale is not permitted. Except as otherwise set forth in this prospectus, neither we nor the Selling Securityholders have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amounts that appear in this Registration Statement may not sum due to rounding.</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 titled “Management’s Discussion and Analysis of Financial Condition and Results of Operations” (“MD&amp;A”) of this prospectus was previously included in our Current Report on Form 6-K, filed with the U.S. Securities and Exchange Commission (the “SEC”) on May 14, 2026. The MD&amp;A section contains disclosure that was current as of May 14, 2026 and cross-references to disclosures in our Annual Report on Form 20-F for the year ended December 31, 2025 (the “Annual Report”), filed with the SEC on April 9, 2026. For purposes of this prospectus, the MD&amp;A section should be read together with this prospectus. To the extent that any disclosure in the MD&amp;A section is inconsistent with the disclosures set forth in this prospectus, the disclosures in this prospectus shall supersede and control.</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3" w:name="a_002"/>
      <w:bookmarkEnd w:id="3"/>
      <w:r>
        <w:rPr>
          <w:rFonts w:ascii="Times New Roman;Times;Serif" w:hAnsi="Times New Roman;Times;Serif"/>
          <w:b/>
          <w:i w:val="false"/>
          <w:caps/>
          <w:sz w:val="20"/>
        </w:rPr>
        <w:t>ABOUT XANADU</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references to the “Company”, “Xanadu,” “we,” “us,” or “our,” refer to Xanadu Quantum Technologies Limited following completion of the Business Combination, which was completed on March 26, 2026. As a result of the Business Combination, Old Xanadu is a wholly-owned subsidiary of Xanadu. Discussions in this prospectus regarding the business of Xanadu prior to March 26, 2026 refer to the business carried on by Old Xanadu.</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4" w:name="a_003"/>
      <w:bookmarkEnd w:id="4"/>
      <w:r>
        <w:rPr>
          <w:rFonts w:ascii="Times New Roman;Times;Serif" w:hAnsi="Times New Roman;Times;Serif"/>
          <w:b/>
          <w:i w:val="false"/>
          <w:caps/>
          <w:sz w:val="20"/>
        </w:rPr>
        <w:t>MARKET AND INDUSTRY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estimates, projections, and other information concerning our industry and business, as well as data regarding market research, estimates, forecasts and projections prepared by our management. Information that is based on market research, estimates, forecasts, projections, or similar methodologies is inherently subject to uncertainties, and actual events or circumstances may differ materially from events and circumstances that are assumed in this information. The industry in which we operate is subject to a high degree of uncertainty and risk due to a variety of factors, including those described in the section titled “Risk Factors.” Unless otherwise expressly stated, we obtained industry, business, market, and other data from reports, research surveys, studies, and similar data prepared by market research firms and other third parties, industry and general publications, government data, and similar sources. While we have compiled, extracted, and reproduced industry data from these sources, we have not independently verified the data. Forecasts and other forward-looking information with respect to industry, business, market, and other data are subject to the same qualifications and additional uncertainties regarding the other forward-looking statements in this prospectus. For the avoidance of all doubt, nothing stated in this paragraph operates to relieve any party from liability for any misrepresentation contained in this prospectus under applicable Canadian securities law. See the section titled “Cautionary Note Regarding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statistical data, estimates, and forecasts that are based on publications or reports generated by third parties, or other publicly available information, as well as other information based on our internal sources.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8"/>
        <w:gridCol w:w="9927"/>
      </w:tblGrid>
      <w:tr>
        <w:trPr/>
        <w:tc>
          <w:tcPr>
            <w:tcW w:w="5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283"/>
              <w:jc w:val="both"/>
              <w:rPr/>
            </w:pPr>
            <w:r>
              <w:rPr/>
              <w:t xml:space="preserve">Capgemini Research Institute, </w:t>
            </w:r>
            <w:r>
              <w:rPr>
                <w:i/>
              </w:rPr>
              <w:t>Executive Companion</w:t>
            </w:r>
            <w:r>
              <w:rPr/>
              <w:t xml:space="preserve"> — </w:t>
            </w:r>
            <w:r>
              <w:rPr>
                <w:i/>
              </w:rPr>
              <w:t>Techno Vision</w:t>
            </w:r>
            <w:r>
              <w:rPr/>
              <w:t>, 2024.</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92"/>
        <w:gridCol w:w="9971"/>
      </w:tblGrid>
      <w:tr>
        <w:trPr/>
        <w:tc>
          <w:tcPr>
            <w:tcW w:w="4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w:t>
            </w:r>
          </w:p>
        </w:tc>
        <w:tc>
          <w:tcPr>
            <w:tcW w:w="9971" w:type="dxa"/>
            <w:tcBorders/>
            <w:vAlign w:val="center"/>
          </w:tcPr>
          <w:p>
            <w:pPr>
              <w:pStyle w:val="TableContents"/>
              <w:bidi w:val="0"/>
              <w:spacing w:before="0" w:after="283"/>
              <w:jc w:val="both"/>
              <w:rPr/>
            </w:pPr>
            <w:r>
              <w:rPr/>
              <w:t xml:space="preserve">Capgemini Research Institute, </w:t>
            </w:r>
            <w:r>
              <w:rPr>
                <w:i/>
              </w:rPr>
              <w:t>Seizing the Commercial Value of Quantum Technology</w:t>
            </w:r>
            <w:r>
              <w:rPr/>
              <w:t>, 2024.</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Capgemini Research Institute, </w:t>
            </w:r>
            <w:r>
              <w:rPr>
                <w:i/>
              </w:rPr>
              <w:t>Quantum Technologies: How to Prepare Your Organization for a Quantum Advantage Now</w:t>
            </w:r>
            <w:r>
              <w:rPr/>
              <w:t>, 2022.</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5" w:name="a_004"/>
      <w:bookmarkEnd w:id="5"/>
      <w:r>
        <w:rPr>
          <w:rFonts w:ascii="Times New Roman;Times;Serif" w:hAnsi="Times New Roman;Times;Serif"/>
          <w:b/>
          <w:i w:val="false"/>
          <w:caps/>
          <w:sz w:val="20"/>
        </w:rPr>
        <w:t>TRADEMARKS AND TRADE NAMES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and our subsidiaries own or have rights to various trademarks, service marks and trade names that they use in connection with the operation of their respective businesses, including “Xanadu”, “PennyLane” and “Catalyst”. This prospectus also contains trademarks, service marks and trade names of third parties, which are the property of their respective owners. The use or display of third parties’ trademarks, service marks, trade names or products in this prospectus is not intended to create, and does not imply, a relationship with Xanadu, or an endorsement or sponsorship by or of Xanadu. Solely for convenience, the trademarks, service marks and trade names referred to in this prospectus may appear without the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 or </w:t>
      </w:r>
      <w:r>
        <w:rPr>
          <w:rFonts w:ascii="Times New Roman;Times;Serif" w:hAnsi="Times New Roman;Times;Serif"/>
          <w:b w:val="false"/>
          <w:i w:val="false"/>
          <w:caps w:val="false"/>
          <w:smallCaps w:val="false"/>
          <w:position w:val="7"/>
          <w:sz w:val="16"/>
          <w:sz w:val="20"/>
        </w:rPr>
        <w:t>SM</w:t>
      </w:r>
      <w:r>
        <w:rPr>
          <w:rFonts w:ascii="Times New Roman;Times;Serif" w:hAnsi="Times New Roman;Times;Serif"/>
          <w:b w:val="false"/>
          <w:i w:val="false"/>
          <w:caps w:val="false"/>
          <w:smallCaps w:val="false"/>
          <w:sz w:val="20"/>
        </w:rPr>
        <w:t xml:space="preserve"> symbols, but such references are not intended to indicate, in any way, that Xanadu will not assert, to the fullest extent under applicable law, its rights or the right of the applicable licensor to these trademarks, service marks and trade names.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6" w:name="a_005"/>
      <w:bookmarkEnd w:id="6"/>
      <w:r>
        <w:rPr>
          <w:rFonts w:ascii="Times New Roman;Times;Serif" w:hAnsi="Times New Roman;Times;Serif"/>
          <w:b/>
          <w:i w:val="false"/>
          <w:caps/>
          <w:sz w:val="20"/>
        </w:rPr>
        <w:t>PRESENTATION OF FINANCIAL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audited financial statements of Xanadu Quantum Technologies Limited, which comprise the balance sheet as of December 31, 2025, the related statements of operations and comprehensive loss, shareholders’ equity and cash flows for the period from October 2, 2025 (Inception) through December 31, 2025;</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unaudited condensed consolidated financial statements of Xanadu Quantum Technologies Limited, which comprise the condensed consolidated balance sheet as of March 31, 2026, the related unaudited condensed consolidated statements of operations and comprehensive loss, shareholders’ equity and cash flows for the three months ended March 31, 2026;</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audited consolidated financial statements of Xanadu Quantum Technologies Inc., which comprise the consolidated balance sheets as of December 31, 2025 and December 31, 2024, the related consolidated statements of operations and comprehensive loss, shareholders’ equity and cash flows for each of the years in the three-year period ended December 31, 2025;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5"/>
        <w:gridCol w:w="9869"/>
      </w:tblGrid>
      <w:tr>
        <w:trPr/>
        <w:tc>
          <w:tcPr>
            <w:tcW w:w="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w:t>
            </w:r>
          </w:p>
        </w:tc>
        <w:tc>
          <w:tcPr>
            <w:tcW w:w="9869" w:type="dxa"/>
            <w:tcBorders/>
            <w:vAlign w:val="center"/>
          </w:tcPr>
          <w:p>
            <w:pPr>
              <w:pStyle w:val="TableContents"/>
              <w:bidi w:val="0"/>
              <w:spacing w:before="0" w:after="283"/>
              <w:jc w:val="both"/>
              <w:rPr/>
            </w:pPr>
            <w:r>
              <w:rPr/>
              <w:t>unaudited pro forma condensed combined financial information.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indicated otherwise, financial data presented in this prospectus has been taken from the audited consolidated financial statements or the unaudited condensed consolidated financial statements Xanadu and Old Xanadu, as applicable, included in this prospectus. Unless otherwise indicated, financial information of CHAC, Xanadu and Old Xanadu have been prepared in accordance with accounting principles generally accepted in the United States (“U.S. GAAP”). In this prospectus, unless otherwise specified, all monetary amounts are in U.S. dollars, all references to “$,” “US$,” “USD” and “dollars” mean U.S. dollars and all references to “C$” and “CAD” mean Canadian dollars.</w:t>
      </w:r>
    </w:p>
    <w:p>
      <w:pPr>
        <w:pStyle w:val="TextBody"/>
        <w:bidi w:val="0"/>
        <w:spacing w:before="0" w:after="0"/>
        <w:ind w:left="0" w:right="0" w:hanging="0"/>
        <w:jc w:val="left"/>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a_006"/>
      <w:bookmarkEnd w:id="7"/>
      <w:r>
        <w:rPr>
          <w:rFonts w:ascii="Times New Roman;Times;Serif" w:hAnsi="Times New Roman;Times;Serif"/>
          <w:b/>
          <w:i w:val="false"/>
          <w:caps/>
          <w:sz w:val="20"/>
        </w:rPr>
        <w:t>NON-GAAP FINANCIAL MEASURES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report certain financial information using non-GAAP measures that are not defined under U.S. GAAP. We believe that these measures provide information that is useful to investors and others in understanding our performance and facilitate a comparison of our results from period to period. These measures should not be considered in isolation or as a substitute for measures prepared in accordance with U.S. GAAP. Readers are cautioned that our non-GAAP financial measures are not standardized measures under U.S. GAAP, reflect the exercise of judgment by our management and may not be comparable to similar financial measures disclosed by other entities.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on the non-GAAP financial measures used in this prospectus, please see the section titled “Management’s Discussion and Analysis of Financial Condition and Results of Operations—Results and Reconciliation of Non-GAAP Financial Measure Adjusted EBITDA.”</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8" w:name="a_007"/>
      <w:bookmarkEnd w:id="8"/>
      <w:r>
        <w:rPr>
          <w:rFonts w:ascii="Times New Roman;Times;Serif" w:hAnsi="Times New Roman;Times;Serif"/>
          <w:b/>
          <w:i w:val="false"/>
          <w:caps/>
          <w:sz w:val="20"/>
        </w:rPr>
        <w:t>EXCHANGE RATES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reporting currency is the U.S. dollar and our functional currency is the U.S. dollar. The functional currency of our international subsidiaries is the currency of their primary economic environment. The following table sets forth, for the periods indicated, the high, low, average and period-end daily rates of exchange for one U.S. dollar, expressed in Canadian dollars, published by the Bank of Canada. These rates are provided solely for convenience and are not necessarily the exchange rates used in the preparation of our financial statements and the financial statements of our subsidiaries.</w:t>
      </w:r>
    </w:p>
    <w:p>
      <w:pPr>
        <w:pStyle w:val="TextBody"/>
        <w:bidi w:val="0"/>
        <w:spacing w:before="0" w:after="0"/>
        <w:ind w:left="0" w:right="0" w:firstLine="360"/>
        <w:jc w:val="both"/>
        <w:rPr>
          <w:caps w:val="false"/>
          <w:smallCaps w:val="false"/>
        </w:rPr>
      </w:pPr>
      <w:r>
        <w:rPr>
          <w:caps w:val="false"/>
          <w:smallCaps w:val="false"/>
        </w:rPr>
        <w:t> </w:t>
      </w:r>
    </w:p>
    <w:tbl>
      <w:tblPr>
        <w:tblW w:w="6277" w:type="dxa"/>
        <w:jc w:val="left"/>
        <w:tblInd w:w="0" w:type="dxa"/>
        <w:tblLayout w:type="fixed"/>
        <w:tblCellMar>
          <w:top w:w="0" w:type="dxa"/>
          <w:left w:w="0" w:type="dxa"/>
          <w:bottom w:w="0" w:type="dxa"/>
          <w:right w:w="0" w:type="dxa"/>
        </w:tblCellMar>
      </w:tblPr>
      <w:tblGrid>
        <w:gridCol w:w="2855"/>
        <w:gridCol w:w="60"/>
        <w:gridCol w:w="80"/>
        <w:gridCol w:w="909"/>
        <w:gridCol w:w="80"/>
        <w:gridCol w:w="80"/>
        <w:gridCol w:w="80"/>
        <w:gridCol w:w="909"/>
        <w:gridCol w:w="80"/>
        <w:gridCol w:w="80"/>
        <w:gridCol w:w="80"/>
        <w:gridCol w:w="909"/>
        <w:gridCol w:w="75"/>
      </w:tblGrid>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12 Months Ended December 31,</w:t>
            </w:r>
          </w:p>
        </w:tc>
        <w:tc>
          <w:tcPr>
            <w:tcW w:w="7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9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9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Highest rate during the period</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1.4603</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1.4416</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1.3875</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Lowest rate during the period</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1.3558</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1.3316</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1.3128</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Average rate for the period</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1.3978</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1.3698</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1.3497</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Rate at the end of the period</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1.3706</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1.4389</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1.3226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a_008"/>
      <w:bookmarkEnd w:id="9"/>
      <w:r>
        <w:rPr>
          <w:rFonts w:ascii="Times New Roman;Times;Serif" w:hAnsi="Times New Roman;Times;Serif"/>
          <w:b/>
          <w:i w:val="false"/>
          <w:caps/>
          <w:sz w:val="20"/>
        </w:rPr>
        <w:t>CERTAIN DEFINED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references in this prospectus to:</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b/>
              </w:rPr>
              <w:t>Arrangement</w:t>
            </w:r>
            <w:r>
              <w:rPr/>
              <w:t>” means an arrangement under Section 182 of the OBCA on the terms and subject to the conditions set out in the Plan of Arrangement, subject to any amendments or variations to the Plan of Arrangement made in accordance with the terms of the Business Combination Agreement and the Plan of Arrangement or made at the direction of the Court in the Final Order with the prior written consent of CHAC, Xanadu and Old Xanadu, such consent not to be unreasonably withheld, conditioned or delayed.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285"/>
        <w:gridCol w:w="9857"/>
      </w:tblGrid>
      <w:tr>
        <w:trPr/>
        <w:tc>
          <w:tcPr>
            <w:tcW w:w="6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w:t>
            </w:r>
          </w:p>
        </w:tc>
        <w:tc>
          <w:tcPr>
            <w:tcW w:w="9857" w:type="dxa"/>
            <w:tcBorders/>
            <w:vAlign w:val="center"/>
          </w:tcPr>
          <w:p>
            <w:pPr>
              <w:pStyle w:val="TableContents"/>
              <w:bidi w:val="0"/>
              <w:spacing w:before="0" w:after="283"/>
              <w:jc w:val="both"/>
              <w:rPr/>
            </w:pPr>
            <w:r>
              <w:rPr/>
              <w:t>“</w:t>
            </w:r>
            <w:r>
              <w:rPr>
                <w:b/>
              </w:rPr>
              <w:t>Audit Committee</w:t>
            </w:r>
            <w:r>
              <w:rPr/>
              <w:t>” means the audit committee of the Board.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b/>
              </w:rPr>
              <w:t>Aurora</w:t>
            </w:r>
            <w:r>
              <w:rPr/>
              <w:t>” is Xanadu’s networked, modular, and scalable photonic quantum computer demonstrating real-time error detection and the interconnection of multiple photonic racks through optical fiber.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317"/>
        <w:gridCol w:w="9818"/>
      </w:tblGrid>
      <w:tr>
        <w:trPr/>
        <w:tc>
          <w:tcPr>
            <w:tcW w:w="7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pPr>
            <w:r>
              <w:rPr/>
              <w:t>●</w:t>
            </w:r>
          </w:p>
        </w:tc>
        <w:tc>
          <w:tcPr>
            <w:tcW w:w="9818" w:type="dxa"/>
            <w:tcBorders/>
            <w:vAlign w:val="center"/>
          </w:tcPr>
          <w:p>
            <w:pPr>
              <w:pStyle w:val="TableContents"/>
              <w:bidi w:val="0"/>
              <w:spacing w:before="0" w:after="283"/>
              <w:jc w:val="both"/>
              <w:rPr/>
            </w:pPr>
            <w:r>
              <w:rPr/>
              <w:t>“</w:t>
            </w:r>
            <w:r>
              <w:rPr>
                <w:b/>
              </w:rPr>
              <w:t>Board</w:t>
            </w:r>
            <w:r>
              <w:rPr/>
              <w:t>” means the board of directors of the Company.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b/>
              </w:rPr>
              <w:t>Borealis</w:t>
            </w:r>
            <w:r>
              <w:rPr/>
              <w:t>” is Xanadu’s 216-qubit photonic quantum computer that demonstrated quantum computational advantage in 2022.</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b/>
              </w:rPr>
              <w:t>Business Combination</w:t>
            </w:r>
            <w:r>
              <w:rPr/>
              <w:t>” means the combination of Xanadu, Old Xanadu and CHAC pursuant to and subject to the terms and conditions of the Business Combination Agreement, and the Plan of Arrangement contemplated thereby.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b/>
              </w:rPr>
              <w:t>Business Combination Agreement</w:t>
            </w:r>
            <w:r>
              <w:rPr/>
              <w:t>” means the business combination agreement dated November 3, 2025 between Xanadu, Old Xanadu and CHAC.</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b/>
              </w:rPr>
              <w:t>CHAC</w:t>
            </w:r>
            <w:r>
              <w:rPr/>
              <w:t>” or “</w:t>
            </w:r>
            <w:r>
              <w:rPr>
                <w:b/>
              </w:rPr>
              <w:t>Crane Harbor</w:t>
            </w:r>
            <w:r>
              <w:rPr/>
              <w:t>” means Xanadu Quantum Technologies Former SPAC Inc., formerly, Crane Harbor Acquisition Corp., being a special purpose acquisition corporation prior to completion of the Business Combination.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6"/>
        <w:gridCol w:w="9966"/>
      </w:tblGrid>
      <w:tr>
        <w:trPr/>
        <w:tc>
          <w:tcPr>
            <w:tcW w:w="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w:t>
            </w:r>
          </w:p>
        </w:tc>
        <w:tc>
          <w:tcPr>
            <w:tcW w:w="9966" w:type="dxa"/>
            <w:tcBorders/>
            <w:vAlign w:val="center"/>
          </w:tcPr>
          <w:p>
            <w:pPr>
              <w:pStyle w:val="TableContents"/>
              <w:bidi w:val="0"/>
              <w:spacing w:before="0" w:after="283"/>
              <w:jc w:val="both"/>
              <w:rPr/>
            </w:pPr>
            <w:r>
              <w:rPr/>
              <w:t>“</w:t>
            </w:r>
            <w:r>
              <w:rPr>
                <w:b/>
              </w:rPr>
              <w:t>CHAC Class A Shares</w:t>
            </w:r>
            <w:r>
              <w:rPr/>
              <w:t>” means CHAC’s Class A ordinary shares, par value US$0.0001.</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7"/>
        <w:gridCol w:w="9965"/>
      </w:tblGrid>
      <w:tr>
        <w:trPr/>
        <w:tc>
          <w:tcPr>
            <w:tcW w:w="4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w:t>
            </w:r>
          </w:p>
        </w:tc>
        <w:tc>
          <w:tcPr>
            <w:tcW w:w="9965" w:type="dxa"/>
            <w:tcBorders/>
            <w:vAlign w:val="center"/>
          </w:tcPr>
          <w:p>
            <w:pPr>
              <w:pStyle w:val="TableContents"/>
              <w:bidi w:val="0"/>
              <w:spacing w:before="0" w:after="283"/>
              <w:jc w:val="both"/>
              <w:rPr/>
            </w:pPr>
            <w:r>
              <w:rPr/>
              <w:t>“</w:t>
            </w:r>
            <w:r>
              <w:rPr>
                <w:b/>
              </w:rPr>
              <w:t>CHAC Class B Shares</w:t>
            </w:r>
            <w:r>
              <w:rPr/>
              <w:t>” means CHAC’s Class B ordinary shares, par value US$0.0001.</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6"/>
        <w:gridCol w:w="9954"/>
      </w:tblGrid>
      <w:tr>
        <w:trPr/>
        <w:tc>
          <w:tcPr>
            <w:tcW w:w="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w:t>
            </w:r>
          </w:p>
        </w:tc>
        <w:tc>
          <w:tcPr>
            <w:tcW w:w="9954" w:type="dxa"/>
            <w:tcBorders/>
            <w:vAlign w:val="center"/>
          </w:tcPr>
          <w:p>
            <w:pPr>
              <w:pStyle w:val="TableContents"/>
              <w:bidi w:val="0"/>
              <w:spacing w:before="0" w:after="283"/>
              <w:jc w:val="both"/>
              <w:rPr/>
            </w:pPr>
            <w:r>
              <w:rPr/>
              <w:t>“</w:t>
            </w:r>
            <w:r>
              <w:rPr>
                <w:b/>
              </w:rPr>
              <w:t>CHAC IPO</w:t>
            </w:r>
            <w:r>
              <w:rPr/>
              <w:t>” means CHAC’s initial public offering consummated on April 25, 2025.</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20"/>
        <w:gridCol w:w="9936"/>
      </w:tblGrid>
      <w:tr>
        <w:trPr/>
        <w:tc>
          <w:tcPr>
            <w:tcW w:w="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w:t>
            </w:r>
          </w:p>
        </w:tc>
        <w:tc>
          <w:tcPr>
            <w:tcW w:w="9936" w:type="dxa"/>
            <w:tcBorders/>
            <w:vAlign w:val="center"/>
          </w:tcPr>
          <w:p>
            <w:pPr>
              <w:pStyle w:val="TableContents"/>
              <w:bidi w:val="0"/>
              <w:spacing w:before="0" w:after="283"/>
              <w:jc w:val="both"/>
              <w:rPr/>
            </w:pPr>
            <w:r>
              <w:rPr/>
              <w:t>“</w:t>
            </w:r>
            <w:r>
              <w:rPr>
                <w:b/>
              </w:rPr>
              <w:t>CHAC Shares</w:t>
            </w:r>
            <w:r>
              <w:rPr/>
              <w:t>” means the CHAC Class A Shares and CHAC Class B Shares.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b/>
              </w:rPr>
              <w:t>CHAC Rights”</w:t>
            </w:r>
            <w:r>
              <w:rPr/>
              <w:t xml:space="preserve"> means each outstanding right of CHAC that entitled the holder, upon exchange, to receive one-tenth of one CHAC Class A Share.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89"/>
        <w:gridCol w:w="9974"/>
      </w:tblGrid>
      <w:tr>
        <w:trPr/>
        <w:tc>
          <w:tcPr>
            <w:tcW w:w="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w:t>
            </w:r>
          </w:p>
        </w:tc>
        <w:tc>
          <w:tcPr>
            <w:tcW w:w="9974" w:type="dxa"/>
            <w:tcBorders/>
            <w:vAlign w:val="center"/>
          </w:tcPr>
          <w:p>
            <w:pPr>
              <w:pStyle w:val="TableContents"/>
              <w:bidi w:val="0"/>
              <w:spacing w:before="0" w:after="283"/>
              <w:jc w:val="both"/>
              <w:rPr/>
            </w:pPr>
            <w:r>
              <w:rPr/>
              <w:t>“</w:t>
            </w:r>
            <w:r>
              <w:rPr>
                <w:b/>
              </w:rPr>
              <w:t>Class A Multiple Voting Shares</w:t>
            </w:r>
            <w:r>
              <w:rPr/>
              <w:t>” means the multiple voting shares in the capital of Xanadu.</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5"/>
        <w:gridCol w:w="9991"/>
      </w:tblGrid>
      <w:tr>
        <w:trPr/>
        <w:tc>
          <w:tcPr>
            <w:tcW w:w="3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w:t>
            </w:r>
          </w:p>
        </w:tc>
        <w:tc>
          <w:tcPr>
            <w:tcW w:w="9991" w:type="dxa"/>
            <w:tcBorders/>
            <w:vAlign w:val="center"/>
          </w:tcPr>
          <w:p>
            <w:pPr>
              <w:pStyle w:val="TableContents"/>
              <w:bidi w:val="0"/>
              <w:spacing w:before="0" w:after="283"/>
              <w:jc w:val="both"/>
              <w:rPr/>
            </w:pPr>
            <w:r>
              <w:rPr/>
              <w:t>“</w:t>
            </w:r>
            <w:r>
              <w:rPr>
                <w:b/>
              </w:rPr>
              <w:t>Class B Subordinate Voting Shares</w:t>
            </w:r>
            <w:r>
              <w:rPr/>
              <w:t>” means the subordinate voting shares in the capital of Xanadu.</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b/>
              </w:rPr>
              <w:t>Closing</w:t>
            </w:r>
            <w:r>
              <w:rPr/>
              <w:t>” means the closing of the transactions contemplated by the Business Combination Agreement at 12:01 AM (Toronto time) on March 26, 2026.</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326"/>
        <w:gridCol w:w="9807"/>
      </w:tblGrid>
      <w:tr>
        <w:trPr/>
        <w:tc>
          <w:tcPr>
            <w:tcW w:w="7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pPr>
            <w:r>
              <w:rPr/>
              <w:t>●</w:t>
            </w:r>
          </w:p>
        </w:tc>
        <w:tc>
          <w:tcPr>
            <w:tcW w:w="9807" w:type="dxa"/>
            <w:tcBorders/>
            <w:vAlign w:val="center"/>
          </w:tcPr>
          <w:p>
            <w:pPr>
              <w:pStyle w:val="TableContents"/>
              <w:bidi w:val="0"/>
              <w:spacing w:before="0" w:after="283"/>
              <w:jc w:val="both"/>
              <w:rPr/>
            </w:pPr>
            <w:r>
              <w:rPr/>
              <w:t>“</w:t>
            </w:r>
            <w:r>
              <w:rPr>
                <w:b/>
              </w:rPr>
              <w:t>Cohen</w:t>
            </w:r>
            <w:r>
              <w:rPr/>
              <w:t>” means Cohen &amp; Company Securities, LLC.</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b/>
              </w:rPr>
              <w:t>Continuance</w:t>
            </w:r>
            <w:r>
              <w:rPr/>
              <w:t>” means the continuance of CHAC from the Companies Act (Cayman Islands) to the Business Corporations Act (Ontario).</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w:t>
      </w:r>
    </w:p>
    <w:p>
      <w:pPr>
        <w:pStyle w:val="TextBody"/>
        <w:bidi w:val="0"/>
        <w:spacing w:before="0" w:after="0"/>
        <w:jc w:val="center"/>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48"/>
        <w:gridCol w:w="9902"/>
      </w:tblGrid>
      <w:tr>
        <w:trPr/>
        <w:tc>
          <w:tcPr>
            <w:tcW w:w="5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w:t>
            </w:r>
          </w:p>
        </w:tc>
        <w:tc>
          <w:tcPr>
            <w:tcW w:w="9902" w:type="dxa"/>
            <w:tcBorders/>
            <w:vAlign w:val="center"/>
          </w:tcPr>
          <w:p>
            <w:pPr>
              <w:pStyle w:val="TableContents"/>
              <w:bidi w:val="0"/>
              <w:spacing w:before="0" w:after="283"/>
              <w:jc w:val="both"/>
              <w:rPr/>
            </w:pPr>
            <w:r>
              <w:rPr/>
              <w:t>“</w:t>
            </w:r>
            <w:r>
              <w:rPr>
                <w:b/>
              </w:rPr>
              <w:t>Effective Time</w:t>
            </w:r>
            <w:r>
              <w:rPr/>
              <w:t>” means the time that the Arrangement was completed.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b/>
              </w:rPr>
              <w:t>MVS Warrants</w:t>
            </w:r>
            <w:r>
              <w:rPr/>
              <w:t>” means the SFTrust Warrants that were exchanged for warrants to purchase Class A Multiple Voting Shares evidenced by the warrant certificates issued by Xanadu in favor of SFTrust Holdings, LLC, each dated as of March 26, 2026.</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345"/>
        <w:gridCol w:w="9783"/>
      </w:tblGrid>
      <w:tr>
        <w:trPr/>
        <w:tc>
          <w:tcPr>
            <w:tcW w:w="7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w:t>
            </w:r>
          </w:p>
        </w:tc>
        <w:tc>
          <w:tcPr>
            <w:tcW w:w="9783" w:type="dxa"/>
            <w:tcBorders/>
            <w:vAlign w:val="center"/>
          </w:tcPr>
          <w:p>
            <w:pPr>
              <w:pStyle w:val="TableContents"/>
              <w:bidi w:val="0"/>
              <w:spacing w:before="0" w:after="283"/>
              <w:jc w:val="both"/>
              <w:rPr/>
            </w:pPr>
            <w:r>
              <w:rPr/>
              <w:t>“</w:t>
            </w:r>
            <w:r>
              <w:rPr>
                <w:b/>
              </w:rPr>
              <w:t>Nasdaq</w:t>
            </w:r>
            <w:r>
              <w:rPr/>
              <w:t>” means The Nasdaq Stock Market LLC.</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9"/>
        <w:gridCol w:w="9987"/>
      </w:tblGrid>
      <w:tr>
        <w:trPr/>
        <w:tc>
          <w:tcPr>
            <w:tcW w:w="3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w:t>
            </w:r>
          </w:p>
        </w:tc>
        <w:tc>
          <w:tcPr>
            <w:tcW w:w="9987" w:type="dxa"/>
            <w:tcBorders/>
            <w:vAlign w:val="center"/>
          </w:tcPr>
          <w:p>
            <w:pPr>
              <w:pStyle w:val="TableContents"/>
              <w:bidi w:val="0"/>
              <w:spacing w:before="0" w:after="283"/>
              <w:jc w:val="both"/>
              <w:rPr/>
            </w:pPr>
            <w:r>
              <w:rPr/>
              <w:t>“</w:t>
            </w:r>
            <w:r>
              <w:rPr>
                <w:b/>
              </w:rPr>
              <w:t>NI 52-110</w:t>
            </w:r>
            <w:r>
              <w:rPr/>
              <w:t xml:space="preserve">” means National Instrument 52-110 – </w:t>
            </w:r>
            <w:r>
              <w:rPr>
                <w:i/>
              </w:rPr>
              <w:t>Audit Committees</w:t>
            </w:r>
            <w:r>
              <w:rPr/>
              <w:t>, as amended from time to time.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02"/>
        <w:gridCol w:w="9836"/>
      </w:tblGrid>
      <w:tr>
        <w:trPr/>
        <w:tc>
          <w:tcPr>
            <w:tcW w:w="6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w:t>
            </w:r>
          </w:p>
        </w:tc>
        <w:tc>
          <w:tcPr>
            <w:tcW w:w="9836" w:type="dxa"/>
            <w:tcBorders/>
            <w:vAlign w:val="center"/>
          </w:tcPr>
          <w:p>
            <w:pPr>
              <w:pStyle w:val="TableContents"/>
              <w:bidi w:val="0"/>
              <w:spacing w:before="0" w:after="283"/>
              <w:jc w:val="both"/>
              <w:rPr/>
            </w:pPr>
            <w:r>
              <w:rPr/>
              <w:t>“</w:t>
            </w:r>
            <w:r>
              <w:rPr>
                <w:b/>
              </w:rPr>
              <w:t>OBCA</w:t>
            </w:r>
            <w:r>
              <w:rPr/>
              <w:t xml:space="preserve">” means the </w:t>
            </w:r>
            <w:r>
              <w:rPr>
                <w:i/>
              </w:rPr>
              <w:t xml:space="preserve">Business Corporations Act </w:t>
            </w:r>
            <w:r>
              <w:rPr/>
              <w:t>(Ontario).</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b/>
              </w:rPr>
              <w:t>Old Xanadu</w:t>
            </w:r>
            <w:r>
              <w:rPr/>
              <w:t>” means Xanadu Quantum Technologies Inc., a corporation originally incorporated under the Canada Business Corporations Act on December 7, 2016 and subsequently continued under the OBCA, that was acquired by Xanadu on March 26, 2026 pursuant to the Business Combination.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b/>
              </w:rPr>
              <w:t>Old Xanadu Non-Voting Common Shares</w:t>
            </w:r>
            <w:r>
              <w:rPr/>
              <w:t>” means each non-voting common share in the capital of Old Xanadu.</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b/>
              </w:rPr>
              <w:t>Old Xanadu Non-Voting Option</w:t>
            </w:r>
            <w:r>
              <w:rPr/>
              <w:t>” means an option to acquire an Old Xanadu Non-Voting Common Share.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6"/>
        <w:gridCol w:w="9966"/>
      </w:tblGrid>
      <w:tr>
        <w:trPr/>
        <w:tc>
          <w:tcPr>
            <w:tcW w:w="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w:t>
            </w:r>
          </w:p>
        </w:tc>
        <w:tc>
          <w:tcPr>
            <w:tcW w:w="9966" w:type="dxa"/>
            <w:tcBorders/>
            <w:vAlign w:val="center"/>
          </w:tcPr>
          <w:p>
            <w:pPr>
              <w:pStyle w:val="TableContents"/>
              <w:bidi w:val="0"/>
              <w:spacing w:before="0" w:after="283"/>
              <w:jc w:val="both"/>
              <w:rPr/>
            </w:pPr>
            <w:r>
              <w:rPr/>
              <w:t>“</w:t>
            </w:r>
            <w:r>
              <w:rPr>
                <w:b/>
              </w:rPr>
              <w:t>Old Xanadu Preferred Share</w:t>
            </w:r>
            <w:r>
              <w:rPr/>
              <w:t>” means each preferred share in the capital of Old Xanadu.</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b/>
              </w:rPr>
              <w:t>Old Xanadu Voting Common Shares</w:t>
            </w:r>
            <w:r>
              <w:rPr/>
              <w:t>” means each voting common share in the capital of Old Xanadu.</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79"/>
        <w:gridCol w:w="9986"/>
      </w:tblGrid>
      <w:tr>
        <w:trPr/>
        <w:tc>
          <w:tcPr>
            <w:tcW w:w="4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w:t>
            </w:r>
          </w:p>
        </w:tc>
        <w:tc>
          <w:tcPr>
            <w:tcW w:w="9986" w:type="dxa"/>
            <w:tcBorders/>
            <w:vAlign w:val="center"/>
          </w:tcPr>
          <w:p>
            <w:pPr>
              <w:pStyle w:val="TableContents"/>
              <w:bidi w:val="0"/>
              <w:spacing w:before="0" w:after="283"/>
              <w:jc w:val="both"/>
              <w:rPr/>
            </w:pPr>
            <w:r>
              <w:rPr/>
              <w:t>“</w:t>
            </w:r>
            <w:r>
              <w:rPr>
                <w:b/>
              </w:rPr>
              <w:t>Old Xanadu Voting Option</w:t>
            </w:r>
            <w:r>
              <w:rPr/>
              <w:t>” means an option to acquire an Old Xanadu Voting Common Share.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3"/>
        <w:gridCol w:w="9969"/>
      </w:tblGrid>
      <w:tr>
        <w:trPr/>
        <w:tc>
          <w:tcPr>
            <w:tcW w:w="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w:t>
            </w:r>
          </w:p>
        </w:tc>
        <w:tc>
          <w:tcPr>
            <w:tcW w:w="9969" w:type="dxa"/>
            <w:tcBorders/>
            <w:vAlign w:val="center"/>
          </w:tcPr>
          <w:p>
            <w:pPr>
              <w:pStyle w:val="TableContents"/>
              <w:bidi w:val="0"/>
              <w:spacing w:before="0" w:after="283"/>
              <w:jc w:val="both"/>
              <w:rPr/>
            </w:pPr>
            <w:r>
              <w:rPr/>
              <w:t>“</w:t>
            </w:r>
            <w:r>
              <w:rPr>
                <w:b/>
              </w:rPr>
              <w:t>Old Xanadu Warrants</w:t>
            </w:r>
            <w:r>
              <w:rPr/>
              <w:t>” means, collectively the SFTrust Warrants and the RBC Warrants.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346"/>
        <w:gridCol w:w="9782"/>
      </w:tblGrid>
      <w:tr>
        <w:trPr/>
        <w:tc>
          <w:tcPr>
            <w:tcW w:w="7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pPr>
            <w:r>
              <w:rPr/>
              <w:t>●</w:t>
            </w:r>
          </w:p>
        </w:tc>
        <w:tc>
          <w:tcPr>
            <w:tcW w:w="9782" w:type="dxa"/>
            <w:tcBorders/>
            <w:vAlign w:val="center"/>
          </w:tcPr>
          <w:p>
            <w:pPr>
              <w:pStyle w:val="TableContents"/>
              <w:bidi w:val="0"/>
              <w:spacing w:before="0" w:after="283"/>
              <w:jc w:val="both"/>
              <w:rPr/>
            </w:pPr>
            <w:r>
              <w:rPr/>
              <w:t>“</w:t>
            </w:r>
            <w:r>
              <w:rPr>
                <w:b/>
              </w:rPr>
              <w:t>OSC</w:t>
            </w:r>
            <w:r>
              <w:rPr/>
              <w:t>” means the Ontario Securities Commission.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b/>
              </w:rPr>
              <w:t>PennyLane</w:t>
            </w:r>
            <w:r>
              <w:rPr/>
              <w:t>” is Xanadu’s open-source quantum programming software development kit enabling hybrid quantum — classical algorithm development across hardware platforms.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b/>
              </w:rPr>
              <w:t>PIPE Financing</w:t>
            </w:r>
            <w:r>
              <w:rPr/>
              <w:t>” means the private placement consummated in connection with the Business Combination for aggregate gross proceeds of approximately $275.0 million.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b/>
              </w:rPr>
              <w:t>PIPE Investors</w:t>
            </w:r>
            <w:r>
              <w:rPr/>
              <w:t>” means the investors party to the subscription agreements providing for the PIPE Financing.</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99"/>
        <w:gridCol w:w="9962"/>
      </w:tblGrid>
      <w:tr>
        <w:trPr/>
        <w:tc>
          <w:tcPr>
            <w:tcW w:w="4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pPr>
            <w:r>
              <w:rPr/>
              <w:t>●</w:t>
            </w:r>
          </w:p>
        </w:tc>
        <w:tc>
          <w:tcPr>
            <w:tcW w:w="9962" w:type="dxa"/>
            <w:tcBorders/>
            <w:vAlign w:val="center"/>
          </w:tcPr>
          <w:p>
            <w:pPr>
              <w:pStyle w:val="TableContents"/>
              <w:bidi w:val="0"/>
              <w:spacing w:before="0" w:after="283"/>
              <w:jc w:val="both"/>
              <w:rPr/>
            </w:pPr>
            <w:r>
              <w:rPr/>
              <w:t>“</w:t>
            </w:r>
            <w:r>
              <w:rPr>
                <w:b/>
              </w:rPr>
              <w:t>Plan of Arrangement</w:t>
            </w:r>
            <w:r>
              <w:rPr/>
              <w:t>” means the plan of arrangement under section 182 of the OBCA.</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42"/>
        <w:gridCol w:w="9909"/>
      </w:tblGrid>
      <w:tr>
        <w:trPr/>
        <w:tc>
          <w:tcPr>
            <w:tcW w:w="5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w:t>
            </w:r>
          </w:p>
        </w:tc>
        <w:tc>
          <w:tcPr>
            <w:tcW w:w="9909" w:type="dxa"/>
            <w:tcBorders/>
            <w:vAlign w:val="center"/>
          </w:tcPr>
          <w:p>
            <w:pPr>
              <w:pStyle w:val="TableContents"/>
              <w:bidi w:val="0"/>
              <w:spacing w:before="0" w:after="283"/>
              <w:jc w:val="both"/>
              <w:rPr/>
            </w:pPr>
            <w:r>
              <w:rPr/>
              <w:t>“</w:t>
            </w:r>
            <w:r>
              <w:rPr>
                <w:b/>
              </w:rPr>
              <w:t>Preferred Shares</w:t>
            </w:r>
            <w:r>
              <w:rPr/>
              <w:t>” means the preferred shares in the capital of Xanadu.</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b/>
              </w:rPr>
              <w:t>Quantum Benchmarking Initiative</w:t>
            </w:r>
            <w:r>
              <w:rPr/>
              <w:t>” is a U.S. Defense Advanced Research Projects Agency (“</w:t>
            </w:r>
            <w:r>
              <w:rPr>
                <w:b/>
              </w:rPr>
              <w:t>DARPA</w:t>
            </w:r>
            <w:r>
              <w:rPr/>
              <w:t>”) led program assessing and validating quantum computing system performance against standardized metrics.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b/>
              </w:rPr>
              <w:t>RBC Warrants</w:t>
            </w:r>
            <w:r>
              <w:rPr/>
              <w:t>” means the warrants to purchase Old Xanadu Non-Voting Common Shares evidenced by the warrant certificate issued by Old Xanadu in favor of Royal Bank of Canada, dated as of May 23, 2023.</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b/>
              </w:rPr>
              <w:t>Refinery</w:t>
            </w:r>
            <w:r>
              <w:rPr/>
              <w:t>” is a photonic subsystem responsible for improving the squeezing quality and fidelity of heralded Gottesman-Kitaev-Preskill (“</w:t>
            </w:r>
            <w:r>
              <w:rPr>
                <w:b/>
              </w:rPr>
              <w:t>GKP</w:t>
            </w:r>
            <w:r>
              <w:rPr/>
              <w:t>”) states.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283"/>
        <w:gridCol w:w="9859"/>
      </w:tblGrid>
      <w:tr>
        <w:trPr/>
        <w:tc>
          <w:tcPr>
            <w:tcW w:w="6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w:t>
            </w:r>
          </w:p>
        </w:tc>
        <w:tc>
          <w:tcPr>
            <w:tcW w:w="9859" w:type="dxa"/>
            <w:tcBorders/>
            <w:vAlign w:val="center"/>
          </w:tcPr>
          <w:p>
            <w:pPr>
              <w:pStyle w:val="TableContents"/>
              <w:bidi w:val="0"/>
              <w:spacing w:before="0" w:after="283"/>
              <w:jc w:val="both"/>
              <w:rPr/>
            </w:pPr>
            <w:r>
              <w:rPr/>
              <w:t>“</w:t>
            </w:r>
            <w:r>
              <w:rPr>
                <w:b/>
              </w:rPr>
              <w:t>SEC</w:t>
            </w:r>
            <w:r>
              <w:rPr/>
              <w:t>” means the U.S. Securities and Exchange Commission.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vi</w:t>
      </w:r>
    </w:p>
    <w:p>
      <w:pPr>
        <w:pStyle w:val="TextBody"/>
        <w:bidi w:val="0"/>
        <w:spacing w:before="0" w:after="0"/>
        <w:jc w:val="center"/>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b/>
              </w:rPr>
              <w:t>SEPA</w:t>
            </w:r>
            <w:r>
              <w:rPr/>
              <w:t>” means the Standby Equity Purchase Agreement, dated May 20, 2026, by and between the Company and Yorkville.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b/>
              </w:rPr>
              <w:t>SFTrust Warrants</w:t>
            </w:r>
            <w:r>
              <w:rPr/>
              <w:t>” means, collectively, (i) the warrants to purchase Old Xanadu Voting Common Shares evidenced by the warrant certificate issued by Old Xanadu in favor of SFTrust Holdings, LLC dated as of January 15, 2018, (ii) the warrants to purchase Old Xanadu Voting Common Shares evidenced by the warrant certificate issued by Old Xanadu in favor of SFTrust Holdings, LLC dated as of July 8, 2019, and (iii) the warrants to purchase Old Xanadu Voting Common Shares evidenced by the warrant certificate issued by Old Xanadu in favor of SFTrust Holdings, LLC dated as of October 21, 2021.</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b/>
              </w:rPr>
              <w:t>Shareholders</w:t>
            </w:r>
            <w:r>
              <w:rPr/>
              <w:t>” means, at any time, the holders of the Shares and “</w:t>
            </w:r>
            <w:r>
              <w:rPr>
                <w:b/>
              </w:rPr>
              <w:t>Shareholder</w:t>
            </w:r>
            <w:r>
              <w:rPr/>
              <w:t>” means any one of them.</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w:t>
            </w:r>
          </w:p>
        </w:tc>
        <w:tc>
          <w:tcPr>
            <w:tcW w:w="9994" w:type="dxa"/>
            <w:tcBorders/>
            <w:vAlign w:val="center"/>
          </w:tcPr>
          <w:p>
            <w:pPr>
              <w:pStyle w:val="TableContents"/>
              <w:bidi w:val="0"/>
              <w:spacing w:before="0" w:after="283"/>
              <w:jc w:val="both"/>
              <w:rPr/>
            </w:pPr>
            <w:r>
              <w:rPr/>
              <w:t>“</w:t>
            </w:r>
            <w:r>
              <w:rPr>
                <w:b/>
              </w:rPr>
              <w:t>Shares</w:t>
            </w:r>
            <w:r>
              <w:rPr/>
              <w:t>” means, together, the Class A Multiple Voting Shares and Class B Subordinate Voting Shares.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b/>
              </w:rPr>
              <w:t>SIF Loan</w:t>
            </w:r>
            <w:r>
              <w:rPr/>
              <w:t>” means the Strategic Innovation Fund agreement, by and between Old Xanadu and His Majesty the King in Right of Canada as represented by the Minister of Industry, as amended.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b/>
              </w:rPr>
              <w:t>Sponsor Letter Agreement</w:t>
            </w:r>
            <w:r>
              <w:rPr/>
              <w:t>” means that certain Sponsor Letter Agreement, entered into on November 3, 2025 between the Sponsor, CHAC, Old Xanadu and Xanadu.</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47"/>
        <w:gridCol w:w="9903"/>
      </w:tblGrid>
      <w:tr>
        <w:trPr/>
        <w:tc>
          <w:tcPr>
            <w:tcW w:w="5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w:t>
            </w:r>
          </w:p>
        </w:tc>
        <w:tc>
          <w:tcPr>
            <w:tcW w:w="9903" w:type="dxa"/>
            <w:tcBorders/>
            <w:vAlign w:val="center"/>
          </w:tcPr>
          <w:p>
            <w:pPr>
              <w:pStyle w:val="TableContents"/>
              <w:bidi w:val="0"/>
              <w:spacing w:before="0" w:after="283"/>
              <w:jc w:val="both"/>
              <w:rPr/>
            </w:pPr>
            <w:r>
              <w:rPr/>
              <w:t>“</w:t>
            </w:r>
            <w:r>
              <w:rPr>
                <w:b/>
              </w:rPr>
              <w:t>Sponsor</w:t>
            </w:r>
            <w:r>
              <w:rPr/>
              <w:t>” means Crane Harbor Sponsor, LLC, the sponsor of CHAC.</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b/>
              </w:rPr>
              <w:t>SVS Warrants</w:t>
            </w:r>
            <w:r>
              <w:rPr/>
              <w:t>” means the RBC Warrants that were exchanged for warrants to purchase Class B Subordinate Voting Shares evidenced by the warrant certificate issued by Xanadu in favor of Royal Bank of Canada, dated as of March 26, 2026.</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392"/>
        <w:gridCol w:w="9726"/>
      </w:tblGrid>
      <w:tr>
        <w:trPr/>
        <w:tc>
          <w:tcPr>
            <w:tcW w:w="8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pPr>
            <w:r>
              <w:rPr/>
              <w:t>●</w:t>
            </w:r>
          </w:p>
        </w:tc>
        <w:tc>
          <w:tcPr>
            <w:tcW w:w="9726" w:type="dxa"/>
            <w:tcBorders/>
            <w:vAlign w:val="center"/>
          </w:tcPr>
          <w:p>
            <w:pPr>
              <w:pStyle w:val="TableContents"/>
              <w:bidi w:val="0"/>
              <w:spacing w:before="0" w:after="283"/>
              <w:jc w:val="both"/>
              <w:rPr/>
            </w:pPr>
            <w:r>
              <w:rPr/>
              <w:t>“</w:t>
            </w:r>
            <w:r>
              <w:rPr>
                <w:b/>
              </w:rPr>
              <w:t>TSX</w:t>
            </w:r>
            <w:r>
              <w:rPr/>
              <w:t>” means the Toronto Stock Exchange.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1"/>
        <w:gridCol w:w="9997"/>
      </w:tblGrid>
      <w:tr>
        <w:trPr/>
        <w:tc>
          <w:tcPr>
            <w:tcW w:w="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b/>
              </w:rPr>
              <w:t>Xanadu</w:t>
            </w:r>
            <w:r>
              <w:rPr/>
              <w:t>” means Xanadu Quantum Technologies Limited, a corporation incorporated under the OBCA.</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3"/>
        <w:gridCol w:w="9945"/>
      </w:tblGrid>
      <w:tr>
        <w:trPr/>
        <w:tc>
          <w:tcPr>
            <w:tcW w:w="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w:t>
            </w:r>
          </w:p>
        </w:tc>
        <w:tc>
          <w:tcPr>
            <w:tcW w:w="9945" w:type="dxa"/>
            <w:tcBorders/>
            <w:vAlign w:val="center"/>
          </w:tcPr>
          <w:p>
            <w:pPr>
              <w:pStyle w:val="TableContents"/>
              <w:bidi w:val="0"/>
              <w:spacing w:before="0" w:after="283"/>
              <w:jc w:val="both"/>
              <w:rPr/>
            </w:pPr>
            <w:r>
              <w:rPr/>
              <w:t>“</w:t>
            </w:r>
            <w:r>
              <w:rPr>
                <w:b/>
              </w:rPr>
              <w:t>Yorkville</w:t>
            </w:r>
            <w:r>
              <w:rPr/>
              <w:t>” means YA II PN, LTD., a Cayman Islands exempt limited partnership.</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vii</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a_009"/>
      <w:bookmarkEnd w:id="10"/>
      <w:r>
        <w:rPr>
          <w:rFonts w:ascii="Times New Roman;Times;Serif" w:hAnsi="Times New Roman;Times;Serif"/>
          <w:b/>
          <w:i w:val="false"/>
          <w:caps/>
          <w:sz w:val="20"/>
        </w:rPr>
        <w:t>CAUTIONARY NOTE REGARDING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statements contained in this prospectus may constitute “forward-looking statements” for purposes of U.S. federal securities laws and “forward-looking information” for purposes of applicable Canadian securities laws (collectively, “forward-looking statements”). Forward-looking statements relate to expectations, beliefs, projections, future plans and strategies, anticipated events or trends and similar expressions concerning matters that are not historical facts. Forward-looking statements reflect our current views with respect to, among other things, our capital resources, performance and results of operations. Likewise, all of our statements regarding anticipated growth in operations, anticipated market conditions, demographics and results of operations are forward-looking statements. The words “anticipate,” “believe,” “budget,” “can,” “continue,” “could,” “estimate,” “expect,” “forecast,” “indicative,” “intends,” “may,” “might,” “outlook,” “plan,” “possible,” “potential,” “predict,” “project,” “prospect,” “schedule,” “seek,” “should,” “strategy,” “target,” “timeline,” “would” and similar expressions and positive and negative variations thereof may identify forward-looking statements, but the absence of these words does not mean that a statement is not forward-looking.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 this prospectus may include, for example, statements about: our financial performance following the Business Combination; changes in our strategy, future operations, financial position, estimated revenues and losses, projected costs, prospects and plans; the implementation, market acceptance and success of our business model, growth strategy and opportunities, and our ability to commercialize our quantum computing technology; our expectations with respect to market opportunity and market growth; the expected benefits of and ability to maintain and enter into new contracts, awards and other relationships, partnerships or collaborations with other businesses, governments and government entities; the potential for our quantum computing technology to achieve quantum advantage; our ability to create quantum computers that are useful and available to people everywhere; our ability to achieve timing and product development milestones on our product roadmap; our ability to attract and retain qualified employees and management; our expectations regarding our ability to obtain and maintain intellectual property protection and not infringe on the rights of others; expectations regarding the time during which we will be an emerging growth company under the Jumpstart Our Business Startups Act of 2012, as amended (the “JOBS Act”); our future capital requirements and sources and uses of cash; our ability to obtain funding for our operations and future growth; expansion plans and opportunities; our ability to draw down amounts under the SEPA, the availability and terms thereof and use of proceeds therefrom; and the outcome of any known and unknown litigation and regulatory proceedings.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guarantee that the events described will happen as described (or that they will happen at all). The following factors, among others, could cause actual results and future events to differ materially from those set forth or contemplated in the forward-looking statements: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564"/>
        <w:gridCol w:w="9516"/>
      </w:tblGrid>
      <w:tr>
        <w:trPr/>
        <w:tc>
          <w:tcPr>
            <w:tcW w:w="12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pPr>
            <w:r>
              <w:rPr/>
              <w:t>●</w:t>
            </w:r>
          </w:p>
        </w:tc>
        <w:tc>
          <w:tcPr>
            <w:tcW w:w="9516" w:type="dxa"/>
            <w:tcBorders/>
            <w:vAlign w:val="center"/>
          </w:tcPr>
          <w:p>
            <w:pPr>
              <w:pStyle w:val="TableContents"/>
              <w:bidi w:val="0"/>
              <w:spacing w:before="0" w:after="283"/>
              <w:jc w:val="both"/>
              <w:rPr/>
            </w:pPr>
            <w:r>
              <w:rPr/>
              <w:t>general economic uncertainty;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525"/>
        <w:gridCol w:w="9563"/>
      </w:tblGrid>
      <w:tr>
        <w:trPr/>
        <w:tc>
          <w:tcPr>
            <w:tcW w:w="11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pPr>
            <w:r>
              <w:rPr/>
              <w:t>●</w:t>
            </w:r>
          </w:p>
        </w:tc>
        <w:tc>
          <w:tcPr>
            <w:tcW w:w="9563" w:type="dxa"/>
            <w:tcBorders/>
            <w:vAlign w:val="center"/>
          </w:tcPr>
          <w:p>
            <w:pPr>
              <w:pStyle w:val="TableContents"/>
              <w:bidi w:val="0"/>
              <w:spacing w:before="0" w:after="283"/>
              <w:jc w:val="both"/>
              <w:rPr/>
            </w:pPr>
            <w:r>
              <w:rPr/>
              <w:t>the effects of a global pandemic;</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426"/>
        <w:gridCol w:w="9684"/>
      </w:tblGrid>
      <w:tr>
        <w:trPr/>
        <w:tc>
          <w:tcPr>
            <w:tcW w:w="9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pPr>
            <w:r>
              <w:rPr/>
              <w:t>●</w:t>
            </w:r>
          </w:p>
        </w:tc>
        <w:tc>
          <w:tcPr>
            <w:tcW w:w="9684" w:type="dxa"/>
            <w:tcBorders/>
            <w:vAlign w:val="center"/>
          </w:tcPr>
          <w:p>
            <w:pPr>
              <w:pStyle w:val="TableContents"/>
              <w:bidi w:val="0"/>
              <w:spacing w:before="0" w:after="283"/>
              <w:jc w:val="both"/>
              <w:rPr/>
            </w:pPr>
            <w:r>
              <w:rPr/>
              <w:t>the volatility of currency exchange rates;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ability to obtain and maintain financing arrangements on attractive terms and to commercialize our quantum computing technology;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572"/>
        <w:gridCol w:w="9506"/>
      </w:tblGrid>
      <w:tr>
        <w:trPr/>
        <w:tc>
          <w:tcPr>
            <w:tcW w:w="12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pPr>
            <w:r>
              <w:rPr/>
              <w:t>●</w:t>
            </w:r>
          </w:p>
        </w:tc>
        <w:tc>
          <w:tcPr>
            <w:tcW w:w="9506" w:type="dxa"/>
            <w:tcBorders/>
            <w:vAlign w:val="center"/>
          </w:tcPr>
          <w:p>
            <w:pPr>
              <w:pStyle w:val="TableContents"/>
              <w:bidi w:val="0"/>
              <w:spacing w:before="0" w:after="283"/>
              <w:jc w:val="both"/>
              <w:rPr/>
            </w:pPr>
            <w:r>
              <w:rPr/>
              <w:t>our ability to manage growth;</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ability to maintain the listing of the Class B Subordinate Voting Shares on the Nasdaq, the TSX or any other national exchange;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359"/>
        <w:gridCol w:w="9766"/>
      </w:tblGrid>
      <w:tr>
        <w:trPr/>
        <w:tc>
          <w:tcPr>
            <w:tcW w:w="8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pPr>
            <w:r>
              <w:rPr/>
              <w:t>●</w:t>
            </w:r>
          </w:p>
        </w:tc>
        <w:tc>
          <w:tcPr>
            <w:tcW w:w="9766" w:type="dxa"/>
            <w:tcBorders/>
            <w:vAlign w:val="center"/>
          </w:tcPr>
          <w:p>
            <w:pPr>
              <w:pStyle w:val="TableContents"/>
              <w:bidi w:val="0"/>
              <w:spacing w:before="0" w:after="283"/>
              <w:jc w:val="both"/>
              <w:rPr/>
            </w:pPr>
            <w:r>
              <w:rPr/>
              <w:t>the effects of competition on our future business;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potential disruption in our employee retention, changes in personnel and availability of qualified personnel, including as a result of the Business Combination;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viii</w:t>
      </w:r>
    </w:p>
    <w:p>
      <w:pPr>
        <w:pStyle w:val="TextBody"/>
        <w:bidi w:val="0"/>
        <w:spacing w:before="0" w:after="0"/>
        <w:jc w:val="center"/>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impact of and changes in governmental regulations or the enforcement thereof, tax laws and rates, accounting guidance and similar matters in regions in which we operate or will operate in the future;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potential litigation, governmental or regulatory proceedings, investigations or inquiries involving us, including in relation to the Business Combination;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international, national or local economic, social or political conditions that could adversely affect us and our business;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5"/>
        <w:gridCol w:w="9943"/>
      </w:tblGrid>
      <w:tr>
        <w:trPr/>
        <w:tc>
          <w:tcPr>
            <w:tcW w:w="4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w:t>
            </w:r>
          </w:p>
        </w:tc>
        <w:tc>
          <w:tcPr>
            <w:tcW w:w="9943" w:type="dxa"/>
            <w:tcBorders/>
            <w:vAlign w:val="center"/>
          </w:tcPr>
          <w:p>
            <w:pPr>
              <w:pStyle w:val="TableContents"/>
              <w:bidi w:val="0"/>
              <w:spacing w:before="0" w:after="283"/>
              <w:jc w:val="both"/>
              <w:rPr/>
            </w:pPr>
            <w:r>
              <w:rPr/>
              <w:t>the effectiveness of our internal controls and our corporate policies and procedures;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limited experience of certain members of our management team in operating a public company in the United States and Canada;</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3"/>
        <w:gridCol w:w="9957"/>
      </w:tblGrid>
      <w:tr>
        <w:trPr/>
        <w:tc>
          <w:tcPr>
            <w:tcW w:w="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w:t>
            </w:r>
          </w:p>
        </w:tc>
        <w:tc>
          <w:tcPr>
            <w:tcW w:w="9957" w:type="dxa"/>
            <w:tcBorders/>
            <w:vAlign w:val="center"/>
          </w:tcPr>
          <w:p>
            <w:pPr>
              <w:pStyle w:val="TableContents"/>
              <w:bidi w:val="0"/>
              <w:spacing w:before="0" w:after="283"/>
              <w:jc w:val="both"/>
              <w:rPr/>
            </w:pPr>
            <w:r>
              <w:rPr/>
              <w:t>the volatility of the market price and liquidity of the Class B Subordinate Voting Shares;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03"/>
        <w:gridCol w:w="9835"/>
      </w:tblGrid>
      <w:tr>
        <w:trPr/>
        <w:tc>
          <w:tcPr>
            <w:tcW w:w="6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pPr>
            <w:r>
              <w:rPr/>
              <w:t>●</w:t>
            </w:r>
          </w:p>
        </w:tc>
        <w:tc>
          <w:tcPr>
            <w:tcW w:w="9835" w:type="dxa"/>
            <w:tcBorders/>
            <w:vAlign w:val="center"/>
          </w:tcPr>
          <w:p>
            <w:pPr>
              <w:pStyle w:val="TableContents"/>
              <w:bidi w:val="0"/>
              <w:spacing w:before="0" w:after="283"/>
              <w:jc w:val="both"/>
              <w:rPr/>
            </w:pPr>
            <w:r>
              <w:rPr/>
              <w:t>risks relating to any unforeseen liabilities of the Company;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failure to obtain lender consent, industry partner and other third-party consents and approvals, when required;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changes in our strategy, future operations, financial position, estimated revenues and losses, projected costs, prospects and plans;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48"/>
        <w:gridCol w:w="9902"/>
      </w:tblGrid>
      <w:tr>
        <w:trPr/>
        <w:tc>
          <w:tcPr>
            <w:tcW w:w="5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w:t>
            </w:r>
          </w:p>
        </w:tc>
        <w:tc>
          <w:tcPr>
            <w:tcW w:w="9902" w:type="dxa"/>
            <w:tcBorders/>
            <w:vAlign w:val="center"/>
          </w:tcPr>
          <w:p>
            <w:pPr>
              <w:pStyle w:val="TableContents"/>
              <w:bidi w:val="0"/>
              <w:spacing w:before="0" w:after="283"/>
              <w:jc w:val="both"/>
              <w:rPr/>
            </w:pPr>
            <w:r>
              <w:rPr/>
              <w:t>our expectations with respect to market opportunity and market growth;</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expected benefits of and ability to maintain and enter into new contracts, awards and other relationships, partnerships or collaborations with other businesses, governments and government entities;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1"/>
        <w:gridCol w:w="9947"/>
      </w:tblGrid>
      <w:tr>
        <w:trPr/>
        <w:tc>
          <w:tcPr>
            <w:tcW w:w="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w:t>
            </w:r>
          </w:p>
        </w:tc>
        <w:tc>
          <w:tcPr>
            <w:tcW w:w="9947" w:type="dxa"/>
            <w:tcBorders/>
            <w:vAlign w:val="center"/>
          </w:tcPr>
          <w:p>
            <w:pPr>
              <w:pStyle w:val="TableContents"/>
              <w:bidi w:val="0"/>
              <w:spacing w:before="0" w:after="283"/>
              <w:jc w:val="both"/>
              <w:rPr/>
            </w:pPr>
            <w:r>
              <w:rPr/>
              <w:t>the potential for our quantum computing technology to achieve quantum supremacy;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97"/>
        <w:gridCol w:w="9964"/>
      </w:tblGrid>
      <w:tr>
        <w:trPr/>
        <w:tc>
          <w:tcPr>
            <w:tcW w:w="4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w:t>
            </w:r>
          </w:p>
        </w:tc>
        <w:tc>
          <w:tcPr>
            <w:tcW w:w="9964" w:type="dxa"/>
            <w:tcBorders/>
            <w:vAlign w:val="center"/>
          </w:tcPr>
          <w:p>
            <w:pPr>
              <w:pStyle w:val="TableContents"/>
              <w:bidi w:val="0"/>
              <w:spacing w:before="0" w:after="283"/>
              <w:jc w:val="both"/>
              <w:rPr/>
            </w:pPr>
            <w:r>
              <w:rPr/>
              <w:t>our ability to achieve timing and product development milestones on our product roadmap;</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expectations regarding our ability to obtain and maintain intellectual property protection and not infringe on the rights of others;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expectations regarding the time during which we will be an emerging growth company under the JOBS Act;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ability to obtain funding for our operations and future growth, and our future capital requirements and sources and uses of cash;</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expansion plans and opportunities, including risks related to the rollout of the Company’s business and expansion strategy;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56"/>
        <w:gridCol w:w="9892"/>
      </w:tblGrid>
      <w:tr>
        <w:trPr/>
        <w:tc>
          <w:tcPr>
            <w:tcW w:w="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w:t>
            </w:r>
          </w:p>
        </w:tc>
        <w:tc>
          <w:tcPr>
            <w:tcW w:w="9892" w:type="dxa"/>
            <w:tcBorders/>
            <w:vAlign w:val="center"/>
          </w:tcPr>
          <w:p>
            <w:pPr>
              <w:pStyle w:val="TableContents"/>
              <w:bidi w:val="0"/>
              <w:spacing w:before="0" w:after="283"/>
              <w:jc w:val="both"/>
              <w:rPr/>
            </w:pPr>
            <w:r>
              <w:rPr/>
              <w:t>the need to obtain required approvals from regulatory authorities;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ability to meet the conditions required to issue Class B Subordinate Voting Shares pursuant to any equity financing arrangements;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volatility of the price of the Class B Subordinate Voting Shares that may result from future issuances or sales of Shares;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dilution of holders of Class B Subordinate Voting Shares resulting from future issuances of Shares, including pursuant to equity financing arrangements, the extent of which cannot be guaranteed;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91"/>
        <w:gridCol w:w="9972"/>
      </w:tblGrid>
      <w:tr>
        <w:trPr/>
        <w:tc>
          <w:tcPr>
            <w:tcW w:w="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w:t>
            </w:r>
          </w:p>
        </w:tc>
        <w:tc>
          <w:tcPr>
            <w:tcW w:w="9972" w:type="dxa"/>
            <w:tcBorders/>
            <w:vAlign w:val="center"/>
          </w:tcPr>
          <w:p>
            <w:pPr>
              <w:pStyle w:val="TableContents"/>
              <w:bidi w:val="0"/>
              <w:spacing w:before="0" w:after="283"/>
              <w:jc w:val="both"/>
              <w:rPr/>
            </w:pPr>
            <w:r>
              <w:rPr/>
              <w:t>the other risks and uncertainties set forth in this prospectus in the section titled “Risk Factors.”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ix</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herein may prove incorrect. These forward-looking statements speak only as of the date of this prospectus and are subject to risks, uncertainties and other factors, which could cause actual results to differ materially from future results expressed, projected or implied by the forward-looking statements. For a further discussion of the risks and other factors that could cause our future results, performance or transactions to differ significantly from those expressed in any forward-looking statements, please see the section titled “Risk Factors” in this prospectus and our filings with the U.S. Securities and Exchange Commission (www.sec.gov) and Canadian Securities Administrators (www.sedarplus.ca). There may be additional risks that we do not presently know or that we currently believe are immaterial, that could also cause actual results to differ from those contained in the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forward-looking statements are based on a number of estimates and assumptions that we believe are reasonable when made including, but not limited to, the perceived benefits of the Business Combination; the effects of the Business Combination on Old Xanadu; assumptions that none of the risks identified in this prospectus materialize; that there are no unforeseen changes to economic and market conditions, and no significant events occur outside the ordinary course of business. Such estimates and assumptions are made in light of the experience of management and its perception of historical trends, current conditions and expected future developments, as well as other factors believed to be appropriate and reasonable in the circumstances. However, there can be no assurance that such estimates and assumptions will prove to be correct.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one or more of these risks or uncertainties materialize, or should any of the assumptions made in making these forward-looking statements prove incorrect, actual results may vary in material respects from those projected in these forward-looking statements.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Because forward-looking statements are inherently subject to risks and uncertainties, some of which cannot be predicted or quantified and some of which are beyond our control, these forward-looking statements should not be relied upon as guarantees of future events. The events and circumstances reflected in our forward-looking statements may not be achieved or occur and actual future results, levels of activity, performance and events and circumstances could differ materially from those projected in the forward-looking statements. Moreover, we operate in an evolving environment. New risks and uncertainties may emerge from time to time, and management cannot predict all risks and uncertainties. Except as required by applicable law, we do not undertake to publicly update or revise any forward-looking statements contained herein, whether as a result of any new information, future events, changed circumstances or otherwise.</w:t>
      </w:r>
    </w:p>
    <w:p>
      <w:pPr>
        <w:pStyle w:val="TextBody"/>
        <w:bidi w:val="0"/>
        <w:spacing w:before="0" w:after="0"/>
        <w:ind w:left="0" w:right="0" w:hanging="0"/>
        <w:jc w:val="left"/>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x</w:t>
      </w:r>
    </w:p>
    <w:p>
      <w:pPr>
        <w:pStyle w:val="TextBody"/>
        <w:bidi w:val="0"/>
        <w:spacing w:before="0" w:after="0"/>
        <w:jc w:val="center"/>
        <w:rPr/>
      </w:pPr>
      <w:r>
        <w:rPr/>
        <w:t> </w:t>
      </w:r>
    </w:p>
    <w:p>
      <w:pPr>
        <w:pStyle w:val="TextBody"/>
        <w:bidi w:val="0"/>
        <w:spacing w:before="0" w:after="0"/>
        <w:ind w:left="0" w:right="0" w:hanging="0"/>
        <w:jc w:val="center"/>
        <w:rPr>
          <w:caps/>
          <w:bdr w:val="single" w:sz="12" w:space="1" w:color="000000"/>
        </w:rPr>
      </w:pPr>
      <w:r>
        <w:rPr>
          <w:caps/>
          <w:bdr w:val="single" w:sz="12"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1" w:color="000000"/>
        </w:rPr>
      </w:pPr>
      <w:bookmarkStart w:id="11" w:name="a_010"/>
      <w:bookmarkEnd w:id="11"/>
      <w:r>
        <w:rPr>
          <w:rFonts w:ascii="Times New Roman;Times;Serif" w:hAnsi="Times New Roman;Times;Serif"/>
          <w:b/>
          <w:i w:val="false"/>
          <w:caps/>
          <w:sz w:val="20"/>
          <w:bdr w:val="single" w:sz="12" w:space="1" w:color="000000"/>
        </w:rPr>
        <w:t>SUMMARY OF PROSPECTUS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This summary highlights selected information contained in this prospectus and does not contain all of the information that is important to you. This summary is qualified in its entirety by the more detailed information included in this prospectus. Before making your investment decision with respect to our Class B Subordinate Voting Shares, you should read carefully this entire prospectus, including the accompanying financial statements of Xanadu Quantum Technologies Limited and Xanadu Quantum Technologies Inc. Please see the section titled “Where You Can Find More Information” elsewhere in this prospectus.</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General</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leading quantum computing company developing full-stack quantum computing solutions for enterprise and government customers around the world.</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mission is to build quantum computers that are useful and available to people everywhere. To achieve this, we are pursuing a full-stack strategy that integrates proprietary photonic quantum hardware with a modality-agnostic software platform. Our hardware platform, demonstrated through the Borealis and Aurora quantum computers, is designed to scale from today’s networked, modular systems toward large-scale fault-tolerant machines with hundreds of thousands of physical qubits and hundreds to thousands of logical qubits. At the same time, our software stack, anchored by PennyLane, has become one of the world’s most widely used quantum application development frameworks, enabling researchers, developers, and enterprises to program quantum circuits across all major modalities and cloud platforms.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quantum computing hardware is designed to solve problems that are intractable for classical computing. We are pioneering an approach to developing a scaled quantum computer that leverages light as the medium for computation, commonly referred to as the photonics modality. We believe that the photonics modality, and the use of individual particles of light, or photons, offers the most practical and scalable path to building universal, fault-tolerant quantum computers and, in particular, addresses the coherence problems impacting the scalability of competing matter-based modalities, such as superconducting, trapped ion, neutral atom, and other approaches.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quantum software includes our branded PennyLane software offering, which is our open-source Quantum Programming Software Development Kit (“SDK”), whereby commercial and government users can program, write and store quantum computing applications and algorithms for commercial, research, and training purposes. PennyLane is accessible via the web and integrates across modalities and with other quantum computing hardware players.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were the first pure-play company to achieve quantum supremacy when in 2022 our 216-qubit Borealis system performed a computation on the cloud in two minutes that would have taken a world top 5 classical supercomputer, Fugaku, approximately seven million years. In 2025, our Aurora system became the world’s first networked, modular, and scalable photonic quantum computer, demonstrating real-time error detection and the interconnection of multiple photonic racks through optical fiber. We believe these milestones validate our technological leadership and mark critical steps toward commercially viable fault tolerant quantum computing.</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vision is to accelerate the world’s transition from classical to quantum computing by deploying photonic quantum systems in data centers, enterprises, and research institutions worldwide, with the goal of enabling breakthroughs in sustainability, medicine, materials, and artificial intelligence.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Committed Equity Financing</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May 20, 2026, we entered into the SEPA with Yorkville pursuant to which we have the right to sell to Yorkville up to $300,000,000 of our Class B Subordinate Voting Shares, subject to certain limitations and conditions set forth in the SEPA, from time to time during the term of the SEPA. Sales of Class B Subordinate Voting Shares to Yorkville under the SEPA, and the timing of any such sales, are at our option, and we are under no obligation to sell any securities to Yorkville under the SEPA. In accordance with our obligations under the SEPA, we are filing this registration statement which includes this prospectus with the SEC to register under the Securities Act the resale by Yorkville of Class B Subordinate Voting Shares so that we may elect, in our sole discretion, to issue and sell to Yorkville under the SEPA.</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Upon the satisfaction of the conditions to Yorkville’s purchase obligation set forth in the SEPA, including that the registration statement of which this prospectus forms a part be declared effective by the SEC and the final form of this prospectus is filed with the SEC, we will have the right, but not the obligation, from time to time at our sole discretion during the period beginning the date of the SEPA and ending upon termination of the SEPA in accordance with its terms (the “Commitment Period”), to direct Yorkville to subscribe and purchase a specified number of Class B Subordinate Voting Shares (each such sale, an “Advance”) by delivering a written notice to Yorkville (each, an “Advance Notice”). There is no mandatory minimum amount for any Advance and no non-usage fee for not utilizing the full commitment amount or any part thereof. The number of Class B Subordinate Voting Shares we may request in any Advance Notice may not exceed the Maximum Advance Amount and is subject to the limitations described below, including the Exchange Cap and the Ownership Limitation.</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per share purchase price Yorkville will pay for the Class B Subordinate Voting Shares (the “Purchase Price”) will equal 97.50% of the Market Price, provided that if such price is less than the TSX Minimum Price, the Purchase Price shall equal the applicable TSX Minimum Price. For purposes of the SEPA, the “Market Price” is defined as the volume weighted average price (“VWAP”) of the Class B Subordinate Voting Shares on the Principal U.S. Market during the applicable Pricing Period, which is a one-day pricing period commencing upon Yorkville’s written confirmation of receipt of the applicable Advance Notice and ending at 4:00 p.m. New York City time on the same Trading Day (unless otherwise agreed by the parties or the Pricing Period is terminated pursuant to the terms of the SEPA). “VWAP” means, for any Trading Day or specified period, the volume weighted average price of the Class B Subordinate Voting Shares on the Principal U.S. Market as reported by Bloomberg L.P. through its “AQR” function. The TSX Minimum Price is the volume weighted average price of the Class B Subordinate Voting Shares on the TSX during the five TSX trading day period immediately preceding the delivery of the applicable Advance Notice, less the maximum permitted discount provided in the TSX Company Manual, converted to U.S. dollars using the exchange rate quoted by the Bank of Canada at the time of submission of such Advance Notice.</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will control the timing and amount of any sales of Class B Subordinate Voting Shares to Yorkville. Actual sales of our Class B Subordinate Voting Shares to Yorkville under the SEPA, if any, will depend on a variety of factors to be determined by us from time to time, which may include, among other things, market conditions, the trading price of our Class B Subordinate Voting Shares and determinations by us as to the appropriate sources of funding for our business and its operations.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Yorkville will not be obligated to purchase any Class B Subordinate Voting Shares under the SEPA which, when aggregated with all other Class B Subordinate Voting Shares then beneficially owned by Yorkville and its affiliates (as calculated pursuant to Section 13(d) of the Exchange Act and Rule 13d-3 promulgated thereunder), would result in the beneficial ownership by Yorkville and its affiliates exceeding 4.99% of the then outstanding voting power or number of Class B Subordinate Voting Shares (the “Ownership Limitation”).</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net proceeds under the SEPA to us will depend on the number of Class B Subordinate Voting Shares we sell to Yorkville, the timing of such sales, and the prices at which we sell such shares to Yorkville. We expect that any proceeds received by us from such sales to Yorkville will be used for working capital and other general corporate purposes.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Yorkville has agreed that it and its affiliates will not engage in any short sales of the Class B Subordinate Voting Shares during the Commitment Period, except that Yorkville may sell a number of Class B Subordinate Voting Shares equal to the number of Advance Shares that it is unconditionally obligated to purchase under a pending Advance Notice but has not yet received from us or our transfer agent.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SEPA will automatically terminate on the earlier of (i) 36 months following the effective date of the SEPA or (ii) the date on which Yorkville shall have made payment of Advances pursuant to the SEPA for Class B Subordinate Voting Shares equal to the Commitment Amount of $300,000,000. We may terminate the SEPA at any time upon written notice to Yorkville, provided that (i) there are no outstanding Advance Notices for which Class B Subordinate Voting Shares have yet to be issued and paid for and (ii) we have paid all amounts owed to Yorkville pursuant to the SEPA. The SEPA may also be terminated at any time by mutual written consent of the parties. Neither we nor Yorkville may assign or transfer our respective rights and obligations under the SEPA, and no provision of the SEPA may be modified or waived other than by an instrument in writing signed by both parties.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consideration for Yorkville’s commitment to purchase Class B Subordinate Voting Shares at our direction upon the terms and subject to the conditions set forth in the SEPA, we have paid Yorkville a structuring fee in the amount of $25,000 and are obligated to pay a commitment fee equal to 0.45% of the Commitment Amount (the “Commitment Fee”), which is fully earned upon execution of the SEPA. At our option, we elected to pay the Commitment Fee in cash, with 10% of the gross proceeds from each Advance deducted by Yorkville from the total Purchase Price payable to us from each such Advance until the Commitment Fee is paid in full. Any portion of the Commitment Fee that remains unpaid upon the termination of the SEPA, or upon the twelve-month anniversary of the date of the SEPA, shall be immediately paid by us to Yorkville in cash.</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SEPA contains customary representations, warranties, conditions and indemnification obligations of the parties. The representations, warranties and covenants contained in the SEPA were made only for purposes of the SEPA and as of specific dates, were solely for the benefit of the parties thereto and may be subject to limitations agreed upon by the contracting parties.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do not know what the Purchase Price for our Class B Subordinate Voting Shares will be and therefore cannot be certain as to the number of shares we might issue to Yorkville under the SEPA. Although the SEPA provides that we may sell up to $300,000,000 of our Class B Subordinate Voting Shares to Yorkville, the actual number of shares issued will depend on the Purchase Price at the time of each Advance. If and when we elect to issue and sell shares to Yorkville, we will need to register for resale under the Securities Act additional Class B Subordinate Voting Shares in order to receive aggregate gross proceeds equal to the $300,000,000 (representing the full commitment amount before the application of the 2.5% discount to the Market Price at which Yorkville purchases shares) available to us under the SEPA, depending on market prices for our Class B Subordinate Voting Shares.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If we elect to issue and sell Class B Subordinate Voting Shares to Yorkville under the SEPA, we must ensure that any such shares are registered for resale under the Securities Act, which could cause additional dilution to our shareholders. The number of shares ultimately offered for resale by Yorkville is dependent upon the number of Class B Subordinate Voting Shares we may elect to sell to Yorkville under the SEPA.</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There are substantial risks to our shareholders as a result of the sale and issuance of Class B Subordinate Voting Shares to Yorkville under the SEPA. These risks include the potential for substantial dilution and significant declines in our share price. See the section titled “Risk Factors.” Issuances of our Class B Subordinate Voting Shares in this offering will not affect the rights or privileges of our existing shareholders, except that the economic and voting interests of each of our existing shareholders will be diluted as a result of any such issuance. Although the number of Class B Subordinate Voting Shares that our existing shareholders own will not decrease as a result of sales, if any, under the SEPA, the shares owned by our existing shareholders will represent a smaller percentage of our total outstanding shares after any such issuance to Yorkville.</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For more detailed information regarding the SEPA, see the section titled “Committed Equity Financing</w:t>
      </w:r>
      <w:r>
        <w:rPr>
          <w:rFonts w:ascii="Times New Roman;Times;Serif" w:hAnsi="Times New Roman;Times;Serif"/>
          <w:b w:val="false"/>
          <w:i/>
          <w:caps w:val="false"/>
          <w:smallCaps w:val="false"/>
          <w:sz w:val="20"/>
          <w:bdr w:val="single" w:sz="12" w:space="1" w:color="000000"/>
        </w:rPr>
        <w:t>.</w:t>
      </w:r>
      <w:r>
        <w:rPr>
          <w:rFonts w:ascii="Times New Roman;Times;Serif" w:hAnsi="Times New Roman;Times;Serif"/>
          <w:b w:val="false"/>
          <w:i w:val="false"/>
          <w:caps w:val="false"/>
          <w:smallCaps w:val="false"/>
          <w:sz w:val="20"/>
          <w:bdr w:val="single" w:sz="12" w:space="1" w:color="000000"/>
        </w:rPr>
        <w:t>”</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Background</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On March 26, 2026 (the “Closing Date”) we consummated the previously announced business combination pursuant to the Business Combination Agreement, which provided for, among other things and subject to the terms and conditions contained in the Business Combination Agreement, and the Plan of Arrangement, (i) the continuation of CHAC from the Companies Act (Cayman Islands) to the </w:t>
      </w:r>
      <w:r>
        <w:rPr>
          <w:rFonts w:ascii="Times New Roman;Times;Serif" w:hAnsi="Times New Roman;Times;Serif"/>
          <w:b w:val="false"/>
          <w:i/>
          <w:caps w:val="false"/>
          <w:smallCaps w:val="false"/>
          <w:sz w:val="20"/>
          <w:bdr w:val="single" w:sz="12" w:space="1" w:color="000000"/>
        </w:rPr>
        <w:t>Business Corporations Act</w:t>
      </w:r>
      <w:r>
        <w:rPr>
          <w:rFonts w:ascii="Times New Roman;Times;Serif" w:hAnsi="Times New Roman;Times;Serif"/>
          <w:b w:val="false"/>
          <w:i w:val="false"/>
          <w:caps w:val="false"/>
          <w:smallCaps w:val="false"/>
          <w:sz w:val="20"/>
          <w:bdr w:val="single" w:sz="12" w:space="1" w:color="000000"/>
        </w:rPr>
        <w:t xml:space="preserve"> (Ontario), (ii) our acquisition of all of the issued and outstanding shares in the capital of CHAC in exchange for Class B Subordinate Voting Shares and all of the issued and outstanding shares in the capital of Old Xanadu, other than Old Xanadu Non-Voting Common Shares for Class A Multiple Voting Shares and all of the issued and outstanding Old Xanadu Non-Voting Common Shares, for Class B Subordinate Voting Shares, in each case, by way of a court approved arrangement under Section 182 of the </w:t>
      </w:r>
      <w:r>
        <w:rPr>
          <w:rFonts w:ascii="Times New Roman;Times;Serif" w:hAnsi="Times New Roman;Times;Serif"/>
          <w:b w:val="false"/>
          <w:i/>
          <w:caps w:val="false"/>
          <w:smallCaps w:val="false"/>
          <w:sz w:val="20"/>
          <w:bdr w:val="single" w:sz="12" w:space="1" w:color="000000"/>
        </w:rPr>
        <w:t>Business Corporations Act</w:t>
      </w:r>
      <w:r>
        <w:rPr>
          <w:rFonts w:ascii="Times New Roman;Times;Serif" w:hAnsi="Times New Roman;Times;Serif"/>
          <w:b w:val="false"/>
          <w:i w:val="false"/>
          <w:caps w:val="false"/>
          <w:smallCaps w:val="false"/>
          <w:sz w:val="20"/>
          <w:bdr w:val="single" w:sz="12" w:space="1" w:color="000000"/>
        </w:rPr>
        <w:t xml:space="preserve"> (Ontario) (the “Arrangement”), resulting in CHAC and Old Xanadu becoming our wholly-owned subsidiaries; and (iii) the listing of the Class B Subordinate Voting Shares for trading on each of Nasdaq and the TSX.</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pPr>
      <w:r>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the Closing Date and pursuant to the Plan of Arrangement, among other things, (i) each then issued and outstanding Old Xanadu Preferred Share held by a holder of Old Xanadu Preferred Shares was converted into and exchanged for one Old Xanadu Voting Common Share; (ii) each then issued and outstanding Old Xanadu Voting Common Share held by a holder of Old Xanadu Voting Common Shares was transferred to us in consideration for that number of Class A Multiple Voting Shares equal to the exchange ratio specified in the Plan of Arrangement (the “Exchange Ratio”); (iii) each then issued and outstanding Old Xanadu Non-Voting Common Share held by a holder of Old Xanadu Non-Voting Common Shares was transferred to us in consideration for that number of Class B Subordinate Voting Shares equal to the Exchange Ratio; (iv) each Old Xanadu Voting Option then outstanding was exchanged for an option to purchase Class A Multiple Voting Shares equal to the Exchange Ratio; (v) each then outstanding Old Xanadu Non-Voting Option was exchanged for an option to purchase Class B Subordinate Voting Shares equal to the Exchange Ratio; and (vi) each then outstanding SFTrust Warrant was exchanged for an MVS Warrant to purchase Class A Multiple Voting Shares equal to the Exchange Ratio and each then outstanding RBC Warrant was exchanged for a SVS Warrant to purchase Class B Subordinate Voting Shares equal to the Exchange Ratio.</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Class B Subordinate Voting Shares are traded on Nasdaq and the TSX under the symbol “XNDU”.</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Xanadu was incorporated under the OBCA on October 2, 2025. Its articles were amended on March 12, 2026 to create the existing capital structure of the Company, including to create the Class A Multiple Voting Shares, Class B Subordinate Voting Shares and Preferred Shares, issuable in series.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Old Xanadu was incorporated under the </w:t>
      </w:r>
      <w:r>
        <w:rPr>
          <w:rFonts w:ascii="Times New Roman;Times;Serif" w:hAnsi="Times New Roman;Times;Serif"/>
          <w:b w:val="false"/>
          <w:i/>
          <w:caps w:val="false"/>
          <w:smallCaps w:val="false"/>
          <w:sz w:val="20"/>
          <w:bdr w:val="single" w:sz="12" w:space="1" w:color="000000"/>
        </w:rPr>
        <w:t>Canada Business Corporations Act</w:t>
      </w:r>
      <w:r>
        <w:rPr>
          <w:rFonts w:ascii="Times New Roman;Times;Serif" w:hAnsi="Times New Roman;Times;Serif"/>
          <w:b w:val="false"/>
          <w:i w:val="false"/>
          <w:caps w:val="false"/>
          <w:smallCaps w:val="false"/>
          <w:sz w:val="20"/>
          <w:bdr w:val="single" w:sz="12" w:space="1" w:color="000000"/>
        </w:rPr>
        <w:t xml:space="preserve"> on December 7, 2016, and subsequently continued under the OBCA on October 29, 2025. Crane Harbor was a blank check company incorporated under the Cayman Islands Companies Act on January 2, 2025 and continued under the OBCA on March 20, 2026. As a result of the Business Combination, Crane Harbor and Old Xanadu are wholly owned subsidiaries of the Company.</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drawing>
          <wp:inline distT="0" distB="0" distL="0" distR="0">
            <wp:extent cx="4600575" cy="2276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600575" cy="2276475"/>
                    </a:xfrm>
                    <a:prstGeom prst="rect">
                      <a:avLst/>
                    </a:prstGeom>
                  </pic:spPr>
                </pic:pic>
              </a:graphicData>
            </a:graphic>
          </wp:inline>
        </w:drawing>
      </w:r>
      <w:r>
        <w:rPr>
          <w:caps w:val="false"/>
          <w:smallCaps w:val="false"/>
          <w:bdr w:val="single" w:sz="12" w:space="1" w:color="000000"/>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principal and registered offices of the Company is located at 777 Bay Street, Suite 2400, Toronto, Ontario, M5G 2C8. Our telephone number is (416) 304-9629. Our website is https://xanadu.ai. The information contained on the website does not form a part of, and is not incorporated by reference into, this prospectus.</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Being an Emerging Growth Company</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an emerging growth company as defined in the JOBS Act. We will remain an emerging growth company until the earliest to occur of: the last day of the fiscal year in which we have more than $1.235 billion in annual revenues; the date we qualify as a “large accelerated filer,” with at least $700 million of equity securities held by non-affiliates; the issuance, in any three-year period, by us of more than $1.0 billion in non-convertible debt securities; and the last day of the fiscal year ending after the fifth anniversary of the CHAC IPO (i.e., December 31, 2030).</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pPr>
      <w:r>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Section 107 of the JOBS Act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Risk Factor Summary</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Investing in our Class B Subordinate Voting Shares involves risks. You should carefully consider the risks described in “Risk Factors” before making a decision to invest in our Class B Subordinate Voting Shares. Some of the risks related to our business and industry are summarized below.</w:t>
      </w:r>
    </w:p>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technology is not mature, we have not produced a commercially scalable, fault-tolerant quantum computer, and we may never overcome the significant barriers to doing so.</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have a history of operating losses and negative cash flows and may not achieve or sustain profitability.</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may not be able to meet the reliability, safety, performance and uptime standards required by our quantum computing technology and related software.</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Inadequate funding or ineffective use of our research and development efforts may prevent us from achieving our technological goals or competing effectively.</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our quantum computers fail to achieve broad-based capabilities, our business, financial condition and future prospects may be harmed.</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face significant risks in launching and scaling our quantum computing technology and related software solutions and applications.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41"/>
        <w:gridCol w:w="186"/>
        <w:gridCol w:w="9978"/>
      </w:tblGrid>
      <w:tr>
        <w:trPr/>
        <w:tc>
          <w:tcPr>
            <w:tcW w:w="4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w:t>
            </w:r>
          </w:p>
        </w:tc>
        <w:tc>
          <w:tcPr>
            <w:tcW w:w="9978" w:type="dxa"/>
            <w:tcBorders/>
            <w:vAlign w:val="center"/>
          </w:tcPr>
          <w:p>
            <w:pPr>
              <w:pStyle w:val="TableContents"/>
              <w:bidi w:val="0"/>
              <w:spacing w:before="0" w:after="283"/>
              <w:jc w:val="both"/>
              <w:rPr/>
            </w:pPr>
            <w:r>
              <w:rPr/>
              <w:t>Our estimates of market opportunity and forecasts of market growth may prove to be inaccurate.</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Market adoption of cloud-based quantum computing technology and related software solutions and applications is relatively new and unproven and may not grow as we expect and, even if market demand increases, the demand for our cloud-based Quantum-Computing-as-a-service (“QCaaS”) may not increase, or certain customers may be reluctant to use a cloud-based QCaaS for applications, any of which may harm our business and results of operations.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derive a significant portion of our revenues from a small number of customers, and the loss of any one of them could adversely affect our business.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will require substantial additional capital to pursue our business objectives, and we cannot be certain that such financing will be available on acceptable terms or at all.</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may be unable to maintain current strategic partnerships or realize the anticipated benefits from existing or future customer and government relationships.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may be required to record significant impairment charges on our long-lived assets, other assets or investments as a result of adverse market conditions.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jc w:val="center"/>
        <w:rPr/>
      </w:pPr>
      <w:r>
        <w:rPr/>
        <w:t> </w:t>
      </w:r>
    </w:p>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our quantum computing technology and related software solutions and applications are not compatible with some or all industry-standard hardware and software in the future, our business could be harmed.</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Supply chain disruptions could delay the introduction of our products and negatively impact our business and operating results.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are highly dependent on key employees with specialized knowledge, and our inability to attract, retain and motivate such personnel could be critical to our success.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53"/>
        <w:gridCol w:w="237"/>
        <w:gridCol w:w="9915"/>
      </w:tblGrid>
      <w:tr>
        <w:trPr/>
        <w:tc>
          <w:tcPr>
            <w:tcW w:w="5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w:t>
            </w:r>
          </w:p>
        </w:tc>
        <w:tc>
          <w:tcPr>
            <w:tcW w:w="9915" w:type="dxa"/>
            <w:tcBorders/>
            <w:vAlign w:val="center"/>
          </w:tcPr>
          <w:p>
            <w:pPr>
              <w:pStyle w:val="TableContents"/>
              <w:bidi w:val="0"/>
              <w:spacing w:before="0" w:after="283"/>
              <w:jc w:val="both"/>
              <w:rPr/>
            </w:pPr>
            <w:r>
              <w:rPr/>
              <w:t>Our management team has limited experience operating a public company.</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use of open source technology could expose us to security vulnerabilities, litigation, and obligations to publicly disclose proprietary source code or intellectual property.</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use of artificial intelligence may result in reputational harm, legal liability, competitive risks and regulatory concerns.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Unfavorable conditions in our industry or the global economy, including catastrophic events, may disrupt our business and negatively affect our results of operations.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success depends in part on expanding sales internationally, which exposes us to risks associated with international operations.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47"/>
        <w:gridCol w:w="213"/>
        <w:gridCol w:w="9945"/>
      </w:tblGrid>
      <w:tr>
        <w:trPr/>
        <w:tc>
          <w:tcPr>
            <w:tcW w:w="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w:t>
            </w:r>
          </w:p>
        </w:tc>
        <w:tc>
          <w:tcPr>
            <w:tcW w:w="9945" w:type="dxa"/>
            <w:tcBorders/>
            <w:vAlign w:val="center"/>
          </w:tcPr>
          <w:p>
            <w:pPr>
              <w:pStyle w:val="TableContents"/>
              <w:bidi w:val="0"/>
              <w:spacing w:before="0" w:after="283"/>
              <w:jc w:val="both"/>
              <w:rPr/>
            </w:pPr>
            <w:r>
              <w:rPr/>
              <w:t>Our international operations may subject us to greater than anticipated tax liabilities.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are subject to governmental export and import controls and trade and economic sanctions laws that could impair our ability to compete globally.</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and third parties with whom we work are subject to stringent and evolving data privacy and security laws, regulations and obligations across the jurisdictions in which we operate.</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Investments in us may be subject to U.S. and Canadian foreign investment laws that could impose conditions or limitations on foreign investors’ ownership of or rights with respect to Xanadu.</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failure to secure or maintain sufficient intellectual property license rights from collaborators could delay, prevent or increase the costs of commercializing our products.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may face patent infringement and other intellectual property claims that could be costly to defend and limit our ability to use key technologies in the future.</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Some of our intellectual property was developed through university or government-funded research and may be subject to policies or regulations that limit our exclusive rights or impose other restrictions on our business.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 active trading market for our Class B Subordinate Voting Shares may not develop, which would adversely affect their liquidity and price.</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dual class share structure concentrates voting control with holders of Class A Multiple Voting Shares.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45"/>
        <w:gridCol w:w="206"/>
        <w:gridCol w:w="9954"/>
      </w:tblGrid>
      <w:tr>
        <w:trPr/>
        <w:tc>
          <w:tcPr>
            <w:tcW w:w="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w:t>
            </w:r>
          </w:p>
        </w:tc>
        <w:tc>
          <w:tcPr>
            <w:tcW w:w="9954" w:type="dxa"/>
            <w:tcBorders/>
            <w:vAlign w:val="center"/>
          </w:tcPr>
          <w:p>
            <w:pPr>
              <w:pStyle w:val="TableContents"/>
              <w:bidi w:val="0"/>
              <w:spacing w:before="0" w:after="283"/>
              <w:jc w:val="both"/>
              <w:rPr/>
            </w:pPr>
            <w:r>
              <w:rPr/>
              <w:t>We have identified material weaknesses in our internal control over financial reporting.</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Adverse events or negative developments announced by competitors could have a material impact on our operations, financial performance and future prospects.</w:t>
            </w:r>
          </w:p>
        </w:tc>
      </w:tr>
    </w:tbl>
    <w:p>
      <w:pPr>
        <w:pStyle w:val="TextBody"/>
        <w:bidi w:val="0"/>
        <w:spacing w:before="0" w:after="0"/>
        <w:ind w:left="720" w:right="0" w:hanging="360"/>
        <w:jc w:val="both"/>
        <w:rPr>
          <w:caps/>
          <w:bdr w:val="single" w:sz="12" w:space="1" w:color="000000"/>
        </w:rPr>
      </w:pPr>
      <w:r>
        <w:rPr>
          <w:caps/>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sale and issuance of our Class B Subordinate Voting Shares to Yorkville will cause dilution to our existing shareholders, and the sale of the Class B Subordinate Voting Shares acquired by Yorkville, or the perception that such sales may occur, could cause the price of our Class B Subordinate Voting Shares to fall.</w:t>
            </w:r>
          </w:p>
        </w:tc>
      </w:tr>
    </w:tbl>
    <w:p>
      <w:pPr>
        <w:pStyle w:val="TextBody"/>
        <w:bidi w:val="0"/>
        <w:spacing w:before="0" w:after="0"/>
        <w:ind w:left="0" w:right="0" w:hanging="0"/>
        <w:jc w:val="center"/>
        <w:rPr>
          <w:caps/>
          <w:bdr w:val="single" w:sz="12" w:space="1" w:color="000000"/>
        </w:rPr>
      </w:pPr>
      <w:r>
        <w:rPr>
          <w:caps/>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jc w:val="center"/>
        <w:rPr/>
      </w:pPr>
      <w:r>
        <w:rPr/>
        <w:t> </w:t>
      </w:r>
    </w:p>
    <w:p>
      <w:pPr>
        <w:pStyle w:val="TextBody"/>
        <w:bidi w:val="0"/>
        <w:spacing w:before="0" w:after="0"/>
        <w:ind w:left="0" w:right="0" w:hanging="0"/>
        <w:jc w:val="center"/>
        <w:rPr>
          <w:caps/>
          <w:bdr w:val="single" w:sz="12" w:space="1" w:color="000000"/>
        </w:rPr>
      </w:pPr>
      <w:r>
        <w:rPr>
          <w:caps/>
          <w:bdr w:val="single" w:sz="12"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1" w:color="000000"/>
        </w:rPr>
      </w:pPr>
      <w:bookmarkStart w:id="12" w:name="a_011"/>
      <w:bookmarkEnd w:id="12"/>
      <w:r>
        <w:rPr>
          <w:rFonts w:ascii="Times New Roman;Times;Serif" w:hAnsi="Times New Roman;Times;Serif"/>
          <w:b/>
          <w:i w:val="false"/>
          <w:caps/>
          <w:sz w:val="20"/>
          <w:bdr w:val="single" w:sz="12" w:space="1" w:color="000000"/>
        </w:rPr>
        <w:t>THE OFFERING</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summary below describes the principal terms of the offering. The “Description of Share Capital” section of this prospectus contains a more detailed description of our securities. Any investment in the securities offered hereby is speculative and involves a high degree of risk. You should carefully consider the information set forth under “Risk Factors” on page 8 of this prospectus.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291"/>
        <w:gridCol w:w="60"/>
        <w:gridCol w:w="249"/>
        <w:gridCol w:w="7605"/>
      </w:tblGrid>
      <w:tr>
        <w:trPr/>
        <w:tc>
          <w:tcPr>
            <w:tcW w:w="229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w:t>
            </w:r>
          </w:p>
        </w:tc>
        <w:tc>
          <w:tcPr>
            <w:tcW w:w="60" w:type="dxa"/>
            <w:tcBorders/>
            <w:vAlign w:val="center"/>
          </w:tcPr>
          <w:p>
            <w:pPr>
              <w:pStyle w:val="TableContents"/>
              <w:bidi w:val="0"/>
              <w:spacing w:before="0" w:after="283"/>
              <w:jc w:val="left"/>
              <w:rPr/>
            </w:pPr>
            <w:r>
              <w:rPr/>
              <w:t> </w:t>
            </w:r>
          </w:p>
        </w:tc>
        <w:tc>
          <w:tcPr>
            <w:tcW w:w="7854" w:type="dxa"/>
            <w:gridSpan w:val="2"/>
            <w:tcBorders/>
            <w:vAlign w:val="center"/>
          </w:tcPr>
          <w:p>
            <w:pPr>
              <w:pStyle w:val="TableContents"/>
              <w:bidi w:val="0"/>
              <w:spacing w:before="0" w:after="283"/>
              <w:jc w:val="left"/>
              <w:rPr/>
            </w:pPr>
            <w:r>
              <w:rPr/>
              <w:t>Xanadu Quantum Technologies Limited.</w:t>
            </w:r>
          </w:p>
        </w:tc>
      </w:tr>
      <w:tr>
        <w:trPr/>
        <w:tc>
          <w:tcPr>
            <w:tcW w:w="2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4" w:type="dxa"/>
            <w:gridSpan w:val="2"/>
            <w:tcBorders/>
            <w:vAlign w:val="center"/>
          </w:tcPr>
          <w:p>
            <w:pPr>
              <w:pStyle w:val="TableContents"/>
              <w:bidi w:val="0"/>
              <w:spacing w:before="0" w:after="283"/>
              <w:jc w:val="left"/>
              <w:rPr/>
            </w:pPr>
            <w:r>
              <w:rPr/>
              <w:t> </w:t>
            </w:r>
          </w:p>
        </w:tc>
      </w:tr>
      <w:tr>
        <w:trPr/>
        <w:tc>
          <w:tcPr>
            <w:tcW w:w="2291" w:type="dxa"/>
            <w:tcBorders/>
            <w:vAlign w:val="center"/>
          </w:tcPr>
          <w:p>
            <w:pPr>
              <w:pStyle w:val="TableContents"/>
              <w:bidi w:val="0"/>
              <w:spacing w:before="0" w:after="283"/>
              <w:jc w:val="left"/>
              <w:rPr/>
            </w:pPr>
            <w:r>
              <w:rPr/>
              <w:t>Class B Subordinate Voting Shares offered by the Selling Securityholders</w:t>
            </w:r>
          </w:p>
        </w:tc>
        <w:tc>
          <w:tcPr>
            <w:tcW w:w="60" w:type="dxa"/>
            <w:tcBorders/>
            <w:vAlign w:val="center"/>
          </w:tcPr>
          <w:p>
            <w:pPr>
              <w:pStyle w:val="TableContents"/>
              <w:bidi w:val="0"/>
              <w:spacing w:before="0" w:after="283"/>
              <w:jc w:val="left"/>
              <w:rPr/>
            </w:pPr>
            <w:r>
              <w:rPr/>
              <w:t> </w:t>
            </w:r>
          </w:p>
        </w:tc>
        <w:tc>
          <w:tcPr>
            <w:tcW w:w="7854" w:type="dxa"/>
            <w:gridSpan w:val="2"/>
            <w:tcBorders/>
            <w:vAlign w:val="center"/>
          </w:tcPr>
          <w:p>
            <w:pPr>
              <w:pStyle w:val="TableContents"/>
              <w:bidi w:val="0"/>
              <w:spacing w:before="0" w:after="283"/>
              <w:jc w:val="both"/>
              <w:rPr/>
            </w:pPr>
            <w:r>
              <w:rPr/>
              <w:t>We are registering the resale by the Selling Securityholders named in this prospectus, or their permitted transferees, of an aggregate of 30,100,000 Class B Subordinate Voting Shares, consisting of up to:</w:t>
            </w:r>
          </w:p>
        </w:tc>
      </w:tr>
      <w:tr>
        <w:trPr/>
        <w:tc>
          <w:tcPr>
            <w:tcW w:w="2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4" w:type="dxa"/>
            <w:gridSpan w:val="2"/>
            <w:tcBorders/>
            <w:vAlign w:val="center"/>
          </w:tcPr>
          <w:p>
            <w:pPr>
              <w:pStyle w:val="TableContents"/>
              <w:bidi w:val="0"/>
              <w:spacing w:before="0" w:after="283"/>
              <w:jc w:val="left"/>
              <w:rPr/>
            </w:pPr>
            <w:r>
              <w:rPr/>
              <w:t> </w:t>
            </w:r>
          </w:p>
        </w:tc>
      </w:tr>
      <w:tr>
        <w:trPr/>
        <w:tc>
          <w:tcPr>
            <w:tcW w:w="2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60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30,000,000 Class B Subordinate Voting Shares we may elect, in our discretion, to issue and sell to Yorkville under the SEPA from time to time;</w:t>
            </w:r>
          </w:p>
          <w:p>
            <w:pPr>
              <w:pStyle w:val="TableContents"/>
              <w:bidi w:val="0"/>
              <w:spacing w:before="0" w:after="0"/>
              <w:ind w:left="343" w:right="0" w:hanging="360"/>
              <w:jc w:val="both"/>
              <w:rPr>
                <w:caps w:val="false"/>
                <w:smallCaps w:val="false"/>
              </w:rPr>
            </w:pPr>
            <w:r>
              <w:rPr>
                <w:caps w:val="false"/>
                <w:smallCaps w:val="false"/>
              </w:rPr>
              <w:t> </w:t>
            </w:r>
          </w:p>
        </w:tc>
      </w:tr>
      <w:tr>
        <w:trPr/>
        <w:tc>
          <w:tcPr>
            <w:tcW w:w="2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w:t>
            </w:r>
          </w:p>
        </w:tc>
        <w:tc>
          <w:tcPr>
            <w:tcW w:w="7605" w:type="dxa"/>
            <w:tcBorders/>
            <w:vAlign w:val="center"/>
          </w:tcPr>
          <w:p>
            <w:pPr>
              <w:pStyle w:val="TableContents"/>
              <w:bidi w:val="0"/>
              <w:spacing w:before="0" w:after="283"/>
              <w:jc w:val="left"/>
              <w:rPr/>
            </w:pPr>
            <w:r>
              <w:rPr/>
              <w:t>100,000 Cohen Shares.</w:t>
            </w:r>
          </w:p>
        </w:tc>
      </w:tr>
      <w:tr>
        <w:trPr/>
        <w:tc>
          <w:tcPr>
            <w:tcW w:w="2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7605" w:type="dxa"/>
            <w:tcBorders/>
            <w:vAlign w:val="center"/>
          </w:tcPr>
          <w:p>
            <w:pPr>
              <w:pStyle w:val="TableContents"/>
              <w:bidi w:val="0"/>
              <w:spacing w:before="0" w:after="283"/>
              <w:jc w:val="left"/>
              <w:rPr/>
            </w:pPr>
            <w:r>
              <w:rPr/>
              <w:t> </w:t>
            </w:r>
          </w:p>
        </w:tc>
      </w:tr>
      <w:tr>
        <w:trPr/>
        <w:tc>
          <w:tcPr>
            <w:tcW w:w="2291" w:type="dxa"/>
            <w:tcBorders/>
            <w:vAlign w:val="center"/>
          </w:tcPr>
          <w:p>
            <w:pPr>
              <w:pStyle w:val="TableContents"/>
              <w:bidi w:val="0"/>
              <w:spacing w:before="0" w:after="283"/>
              <w:jc w:val="left"/>
              <w:rPr/>
            </w:pPr>
            <w:r>
              <w:rPr/>
              <w:t>Class B Subordinate Voting Outstanding as of May 14, 2026</w:t>
            </w:r>
          </w:p>
        </w:tc>
        <w:tc>
          <w:tcPr>
            <w:tcW w:w="60" w:type="dxa"/>
            <w:tcBorders/>
            <w:vAlign w:val="center"/>
          </w:tcPr>
          <w:p>
            <w:pPr>
              <w:pStyle w:val="TableContents"/>
              <w:bidi w:val="0"/>
              <w:spacing w:before="0" w:after="283"/>
              <w:jc w:val="left"/>
              <w:rPr/>
            </w:pPr>
            <w:r>
              <w:rPr/>
              <w:t> </w:t>
            </w:r>
          </w:p>
        </w:tc>
        <w:tc>
          <w:tcPr>
            <w:tcW w:w="7854" w:type="dxa"/>
            <w:gridSpan w:val="2"/>
            <w:tcBorders/>
            <w:vAlign w:val="center"/>
          </w:tcPr>
          <w:p>
            <w:pPr>
              <w:pStyle w:val="TableContents"/>
              <w:bidi w:val="0"/>
              <w:spacing w:before="0" w:after="283"/>
              <w:jc w:val="left"/>
              <w:rPr/>
            </w:pPr>
            <w:r>
              <w:rPr/>
              <w:t>43,284,411 Class B Subordinate Voting Shares.</w:t>
            </w:r>
          </w:p>
        </w:tc>
      </w:tr>
      <w:tr>
        <w:trPr/>
        <w:tc>
          <w:tcPr>
            <w:tcW w:w="2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4" w:type="dxa"/>
            <w:gridSpan w:val="2"/>
            <w:tcBorders/>
            <w:vAlign w:val="center"/>
          </w:tcPr>
          <w:p>
            <w:pPr>
              <w:pStyle w:val="TableContents"/>
              <w:bidi w:val="0"/>
              <w:spacing w:before="0" w:after="283"/>
              <w:jc w:val="left"/>
              <w:rPr/>
            </w:pPr>
            <w:r>
              <w:rPr/>
              <w:t> </w:t>
            </w:r>
          </w:p>
        </w:tc>
      </w:tr>
      <w:tr>
        <w:trPr/>
        <w:tc>
          <w:tcPr>
            <w:tcW w:w="2291" w:type="dxa"/>
            <w:tcBorders/>
            <w:vAlign w:val="center"/>
          </w:tcPr>
          <w:p>
            <w:pPr>
              <w:pStyle w:val="TableContents"/>
              <w:bidi w:val="0"/>
              <w:spacing w:before="0" w:after="283"/>
              <w:jc w:val="left"/>
              <w:rPr/>
            </w:pPr>
            <w:r>
              <w:rPr/>
              <w:t>Class B Subordinate Voting Shares outstanding After Giving Effect to the Issuance of the Shares Registered Hereunder</w:t>
            </w:r>
          </w:p>
        </w:tc>
        <w:tc>
          <w:tcPr>
            <w:tcW w:w="60" w:type="dxa"/>
            <w:tcBorders/>
            <w:vAlign w:val="center"/>
          </w:tcPr>
          <w:p>
            <w:pPr>
              <w:pStyle w:val="TableContents"/>
              <w:bidi w:val="0"/>
              <w:spacing w:before="0" w:after="283"/>
              <w:jc w:val="left"/>
              <w:rPr/>
            </w:pPr>
            <w:r>
              <w:rPr/>
              <w:t> </w:t>
            </w:r>
          </w:p>
        </w:tc>
        <w:tc>
          <w:tcPr>
            <w:tcW w:w="7854" w:type="dxa"/>
            <w:gridSpan w:val="2"/>
            <w:tcBorders/>
            <w:vAlign w:val="center"/>
          </w:tcPr>
          <w:p>
            <w:pPr>
              <w:pStyle w:val="TableContents"/>
              <w:bidi w:val="0"/>
              <w:spacing w:before="0" w:after="283"/>
              <w:jc w:val="left"/>
              <w:rPr/>
            </w:pPr>
            <w:r>
              <w:rPr/>
              <w:t>73,384,411 Class B Subordinate Voting Shares.</w:t>
            </w:r>
          </w:p>
        </w:tc>
      </w:tr>
      <w:tr>
        <w:trPr/>
        <w:tc>
          <w:tcPr>
            <w:tcW w:w="2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4" w:type="dxa"/>
            <w:gridSpan w:val="2"/>
            <w:tcBorders/>
            <w:vAlign w:val="center"/>
          </w:tcPr>
          <w:p>
            <w:pPr>
              <w:pStyle w:val="TableContents"/>
              <w:bidi w:val="0"/>
              <w:spacing w:before="0" w:after="283"/>
              <w:jc w:val="left"/>
              <w:rPr/>
            </w:pPr>
            <w:r>
              <w:rPr/>
              <w:t> </w:t>
            </w:r>
          </w:p>
        </w:tc>
      </w:tr>
      <w:tr>
        <w:trPr/>
        <w:tc>
          <w:tcPr>
            <w:tcW w:w="2291" w:type="dxa"/>
            <w:tcBorders/>
            <w:vAlign w:val="center"/>
          </w:tcPr>
          <w:p>
            <w:pPr>
              <w:pStyle w:val="TableContents"/>
              <w:bidi w:val="0"/>
              <w:spacing w:before="0" w:after="283"/>
              <w:jc w:val="left"/>
              <w:rPr/>
            </w:pPr>
            <w:r>
              <w:rPr/>
              <w:t>Use of proceeds</w:t>
            </w:r>
          </w:p>
        </w:tc>
        <w:tc>
          <w:tcPr>
            <w:tcW w:w="60" w:type="dxa"/>
            <w:tcBorders/>
            <w:vAlign w:val="center"/>
          </w:tcPr>
          <w:p>
            <w:pPr>
              <w:pStyle w:val="TableContents"/>
              <w:bidi w:val="0"/>
              <w:spacing w:before="0" w:after="283"/>
              <w:jc w:val="left"/>
              <w:rPr/>
            </w:pPr>
            <w:r>
              <w:rPr/>
              <w:t> </w:t>
            </w:r>
          </w:p>
        </w:tc>
        <w:tc>
          <w:tcPr>
            <w:tcW w:w="7854" w:type="dxa"/>
            <w:gridSpan w:val="2"/>
            <w:tcBorders/>
            <w:vAlign w:val="center"/>
          </w:tcPr>
          <w:p>
            <w:pPr>
              <w:pStyle w:val="TableContents"/>
              <w:bidi w:val="0"/>
              <w:spacing w:before="0" w:after="283"/>
              <w:jc w:val="both"/>
              <w:rPr/>
            </w:pPr>
            <w:r>
              <w:rPr/>
              <w:t>We will not receive any proceeds from the resale of Class B Subordinate Voting Shares included in this prospectus by Yorkville. However, we may receive up to $300,000,000 in aggregate gross proceeds (representing the full commitment amount before the application of the 2.5% discount to the Market Price at which Yorkville purchases shares) under the SEPA from sales of Class B Subordinate Voting Shares that we may elect to make to Yorkville pursuant to the SEPA, if any, from time to time in our discretion. We expect to use the net proceeds that we receive from sales of our Class B Subordinate Voting to Yorkville, if any, under the SEPA for working capital and general corporate purposes. In addition, we will not receive any proceeds from the sale of Class B Subordinate Voting Shares by Cohen. See the section titled “Use of Proceeds.”</w:t>
            </w:r>
          </w:p>
        </w:tc>
      </w:tr>
      <w:tr>
        <w:trPr/>
        <w:tc>
          <w:tcPr>
            <w:tcW w:w="2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4" w:type="dxa"/>
            <w:gridSpan w:val="2"/>
            <w:tcBorders/>
            <w:vAlign w:val="center"/>
          </w:tcPr>
          <w:p>
            <w:pPr>
              <w:pStyle w:val="TableContents"/>
              <w:bidi w:val="0"/>
              <w:spacing w:before="0" w:after="283"/>
              <w:jc w:val="both"/>
              <w:rPr/>
            </w:pPr>
            <w:r>
              <w:rPr/>
              <w:t> </w:t>
            </w:r>
          </w:p>
        </w:tc>
      </w:tr>
      <w:tr>
        <w:trPr/>
        <w:tc>
          <w:tcPr>
            <w:tcW w:w="2291" w:type="dxa"/>
            <w:tcBorders/>
            <w:vAlign w:val="center"/>
          </w:tcPr>
          <w:p>
            <w:pPr>
              <w:pStyle w:val="TableContents"/>
              <w:bidi w:val="0"/>
              <w:spacing w:before="0" w:after="283"/>
              <w:jc w:val="left"/>
              <w:rPr/>
            </w:pPr>
            <w:r>
              <w:rPr/>
              <w:t>Risk factors</w:t>
            </w:r>
          </w:p>
        </w:tc>
        <w:tc>
          <w:tcPr>
            <w:tcW w:w="60" w:type="dxa"/>
            <w:tcBorders/>
            <w:vAlign w:val="center"/>
          </w:tcPr>
          <w:p>
            <w:pPr>
              <w:pStyle w:val="TableContents"/>
              <w:bidi w:val="0"/>
              <w:spacing w:before="0" w:after="283"/>
              <w:jc w:val="left"/>
              <w:rPr/>
            </w:pPr>
            <w:r>
              <w:rPr/>
              <w:t> </w:t>
            </w:r>
          </w:p>
        </w:tc>
        <w:tc>
          <w:tcPr>
            <w:tcW w:w="7854" w:type="dxa"/>
            <w:gridSpan w:val="2"/>
            <w:tcBorders/>
            <w:vAlign w:val="center"/>
          </w:tcPr>
          <w:p>
            <w:pPr>
              <w:pStyle w:val="TableContents"/>
              <w:bidi w:val="0"/>
              <w:spacing w:before="0" w:after="283"/>
              <w:jc w:val="both"/>
              <w:rPr/>
            </w:pPr>
            <w:r>
              <w:rPr/>
              <w:t>Before investing in our securities, you should carefully read and consider the information set forth in the section titled “Risk Factors” in this prospectus.</w:t>
            </w:r>
          </w:p>
        </w:tc>
      </w:tr>
      <w:tr>
        <w:trPr/>
        <w:tc>
          <w:tcPr>
            <w:tcW w:w="2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4" w:type="dxa"/>
            <w:gridSpan w:val="2"/>
            <w:tcBorders/>
            <w:vAlign w:val="center"/>
          </w:tcPr>
          <w:p>
            <w:pPr>
              <w:pStyle w:val="TableContents"/>
              <w:bidi w:val="0"/>
              <w:spacing w:before="0" w:after="283"/>
              <w:jc w:val="both"/>
              <w:rPr/>
            </w:pPr>
            <w:r>
              <w:rPr/>
              <w:t> </w:t>
            </w:r>
          </w:p>
        </w:tc>
      </w:tr>
      <w:tr>
        <w:trPr/>
        <w:tc>
          <w:tcPr>
            <w:tcW w:w="2291" w:type="dxa"/>
            <w:tcBorders/>
            <w:vAlign w:val="center"/>
          </w:tcPr>
          <w:p>
            <w:pPr>
              <w:pStyle w:val="TableContents"/>
              <w:bidi w:val="0"/>
              <w:spacing w:before="0" w:after="283"/>
              <w:jc w:val="left"/>
              <w:rPr/>
            </w:pPr>
            <w:r>
              <w:rPr/>
              <w:t>Nasdaq and TSX ticker symbol</w:t>
            </w:r>
          </w:p>
        </w:tc>
        <w:tc>
          <w:tcPr>
            <w:tcW w:w="60" w:type="dxa"/>
            <w:tcBorders/>
            <w:vAlign w:val="center"/>
          </w:tcPr>
          <w:p>
            <w:pPr>
              <w:pStyle w:val="TableContents"/>
              <w:bidi w:val="0"/>
              <w:spacing w:before="0" w:after="283"/>
              <w:jc w:val="left"/>
              <w:rPr/>
            </w:pPr>
            <w:r>
              <w:rPr/>
              <w:t> </w:t>
            </w:r>
          </w:p>
        </w:tc>
        <w:tc>
          <w:tcPr>
            <w:tcW w:w="7854" w:type="dxa"/>
            <w:gridSpan w:val="2"/>
            <w:tcBorders/>
            <w:vAlign w:val="center"/>
          </w:tcPr>
          <w:p>
            <w:pPr>
              <w:pStyle w:val="TableContents"/>
              <w:bidi w:val="0"/>
              <w:spacing w:before="0" w:after="283"/>
              <w:jc w:val="both"/>
              <w:rPr/>
            </w:pPr>
            <w:r>
              <w:rPr/>
              <w:t>The Class B Subordinate Voting Shares are traded on Nasdaq and the TSX under the symbol “XNDU.”</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For additional information concerning the offering, see the section titled “Plan of Distribution” beginning on page 169.</w:t>
      </w:r>
    </w:p>
    <w:p>
      <w:pPr>
        <w:pStyle w:val="TextBody"/>
        <w:bidi w:val="0"/>
        <w:spacing w:before="0" w:after="0"/>
        <w:ind w:left="0" w:right="0" w:hanging="0"/>
        <w:jc w:val="left"/>
        <w:rPr>
          <w:caps/>
          <w:bdr w:val="single" w:sz="12" w:space="1" w:color="000000"/>
        </w:rPr>
      </w:pPr>
      <w:r>
        <w:rPr>
          <w:caps/>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jc w:val="center"/>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3" w:name="a_012"/>
      <w:bookmarkEnd w:id="13"/>
      <w:r>
        <w:rPr>
          <w:rFonts w:ascii="Times New Roman;Times;Serif" w:hAnsi="Times New Roman;Times;Serif"/>
          <w:b/>
          <w:i w:val="false"/>
          <w:caps/>
          <w:sz w:val="20"/>
        </w:rPr>
        <w:t>RISK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carefully review and consider the following risk factors and the other information contained in this prospectus, including the financial statements and notes to the financial statements included herein before making a decision to invest in our securities. The occurrence of one or more of the events or circumstances described in these risk factors, alone or in combination with other events or circumstances, may have a material adverse effect on our business, cash flows, financial condition and results of operations. This could cause the trading price of our Class B Subordinate Voting Shares to decline, perhaps significantly, and you therefore may lose all or part of your investment. You should carefully consider the following risk factors in conjunction with the other information included in this prospectus, including matters addressed in the sections titled “Cautionary Note Regarding Forward-Looking Statements,” “Management’s Discussion and Analysis of Financial Condition and Results of Operations,” and the financial statements and notes to the financial statements included herein. The risks discussed below are not exhaustive and are based on certain assumptions made by us which later may prove to be incorrect or incomplete. Investors are encouraged to perform their own investigation with respect to our business, financial condition and prospects. We may face additional risks and uncertainties that are not presently known to us, or that are currently deemed immaterial, which may also impair our business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not possible to predict the actual number of shares we will sell under the SEPA to Yorkville or the actual gross proceeds resulting from those sales. Further, we may not have access to the full amount available under the SEPA with Yorkville.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2026, we entered into the SEPA with Yorkville, pursuant to which Yorkville has committed to purchase up to $300,000,000 of our Class B Subordinate Voting Shares, subject to certain limitations and conditions set forth in the SEPA. The Class B Subordinate Voting Shares that may be issued under the SEPA may be sold by us to Yorkville at our discretion from time to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have the right to control the timing and amount of any sales of our Class B Subordinate Voting Shares to Yorkville under the SEPA. Sales of our Class B Subordinate Voting Shares, if any, to Yorkville under the SEPA will depend upon market conditions and other factors to be determined by us. We may ultimately decide to sell to Yorkville all, some or none of the Class B Subordinate Voting Shares that may be available for us to sell to Yorkville pursuant to the SEPA.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purchase price per share to be paid by Yorkville for the Class B Subordinate Voting Shares that we may elect to sell to Yorkville under the SEPA, if any, will fluctuate based on the market prices of our Class B Subordinate Voting Shares prior to each Advance made pursuant to the SEPA, if any, it is not possible for us to predict, as of the date of this prospectus and prior to any such sales, the number of Class B Subordinate Voting Shares that we will sell to Yorkville under the SEPA, the purchase price per share that Yorkville will pay for shares purchased from us under the SEPA, or the aggregate gross proceeds that we will receive from those purchases by Yorkville under the SEPA, if 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although the SEPA provides that we may sell up to an aggregate of $300,000,000 of our Class B Subordinate Voting Shares to Yorkville, only 30,000,000 Class B Subordinate Voting Shares are being registered for resale under the registration statement that includes this prospectus. If we elect to sell to Yorkville all of the 30,000,000 Class B Subordinate Voting Shares being registered for resale under this prospectus, depending on the market price of our Class B Subordinate Voting Shares prior to each advance made pursuant to the SEPA, the actual gross proceeds from the sale of all such shares may be substantially less than the $300,000,000 available to us under the SEPA, which could materially adversely affect our liquidity.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becomes necessary for us to issue and sell to Yorkville under the SEPA more than the 30,000,000 shares being registered for resale under this prospectus in order to receive aggregate gross proceeds equal to $300,000,000 under the SEPA (representing the full commitment amount before the application of the 2.5% discount to the Market Price at which Yorkville purchases shares), we must file with the SEC one or more additional registration statements to register under the Securities Act the resale by Yorkville of any such additional Class B Subordinate Voting Shares we wish to sell from time to time under the SEPA, which the SEC must declare effective. Additionally, we may need to seek approval from the TSX for the listing of such additional Class B Subordinate Voting Shares on that exchange. Any issuance and sale by us under the SEPA of Class B Subordinate Voting Shares in addition to the 30,000,000 Class B Subordinate Voting Shares being registered for resale by Yorkville under the registration statement that includes this prospectus could cause additional dilution to our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required or permitted to issue any Class B Subordinate Voting Shares under the SEPA if such issuance would breach our obligations under the rules or regulations of Nasdaq. In addition, Yorkville will not be required to purchase any Class B Subordinate Voting Shares if such sale would result in Yorkville’s beneficial ownership exceeding 4.99% of the then issued and outstanding Class B Subordinate Voting Shares. Our inability to access a part or all of the amount available under the SEPA, in the absence of any other financing sources, could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sale and issuance of our Class B Subordinate Voting Shares to Yorkville will cause dilution to our existing shareholders, and the sale of the Class B Subordinate Voting Shares acquired by Yorkville, or the perception that such sales may occur, could cause the price of our Class B Subordinate Voting Shares to fall.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for the shares that we may sell to Yorkville under the SEPA will fluctuate based on the price of our Class B Subordinate Voting Shares. Depending on a number of factors, including market liquidity, sales of such shares may cause the trading price of our Class B Subordinate Voting Shares to fall. If and when we do sell shares to Yorkville, Yorkville may resell all, some, or none of those shares at its discretion, subject to the terms of the SEPA. Therefore, sales to Yorkville by us could result in substantial dilution to the interests of other holders of our Shares. Additionally, the sale of a substantial number of Class B Subordinate Voting Shares to Yorkville, or the anticipation of such sales, could make it more difficult for us to sell equity or equity-related securities in the future at a desirable time and price. The resale of Class B Subordinate Voting Shares by Yorkville in the public market or otherwise, including sales pursuant to this prospectus, or the perception that such sales could occur, could also harm the prevailing market price of our Class B Subordinate Voting Shares. In addition, we agreed to issue 100,000 Cohen Shares as compensation for financial advisory services rendered in connection with the Business Combination. The Cohen Shares are being registered for resale pursuant to this prospectus and are not subject to any contractual lock-up or resale restrictions; accordingly, Cohen may sell the Cohen Shares in the public market at any time following the effectiveness of the registration statement of which this prospectus forms a part, which could result in dilution to our existing shareholders and adversely affect the prevailing market price of our Class B Subordinate Voting Shares. Following these issuances described above and following the expiration of lock-ups of certain other restricted shareholders and as restrictions on resale end and registration statements are available for use, the market price of our Class B Subordinate Voting Shares could decline if the holders of restricted or locked up shares sell them or are perceived by the market as intending to sell them. As such, sales of a substantial number of Class B Subordinate Voting Shares in the public market could occur at any time. These sales, or the perception in the market that the holders of a large number of shares intend to sell shares, could reduce the market price of Class B Subordinate Voting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Investors who buy Class B Subordinate Voting Shares at different times will likely pay different prices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SEPA, we control the timing and amount of any sales of Class B Subordinate Voting Shares to Yorkville. If and when we elect to sell Class B Subordinate Voting Shares to Yorkville pursuant to the SEPA, Yorkville may resell all, some or none of such shares at its discretion and at different prices, subject to the terms of the SEPA. As a result, investors who purchase shares from Yorkville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Yorkville in this offering as a result of future sales made by us to Yorkville at prices lower than the prices such investors paid for their shares in this offering. In addition, if we sell a substantial number of shares to Yorkville under the SEPA, or if investors expect that we will do so, the actual sales of shares or the mere existence of our arrangement with Yorkville may make it more difficult for us to sell equity or equity-related securities in the future at a desirable time and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team will have broad discretion over the use of the net proceeds from our sale of Class B Subordinate Voting Shares to Yorkville, if any, and you may not agree with how we use the proceeds and the proceeds may not be invested successfully.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team will have broad discretion as to the use of the net proceeds from our sale of Class B Subordinate Voting Shares to Yorkville, if any, and we could use such proceeds for purposes other than those contemplated at the time of commencement of this offering. We will not receive any proceeds from the resale of the Cohen Shares by Cohen; all proceeds from any such resale will be received directly by Cohen.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you will be relying on the judgment of our management team with regard to the use of those net proceeds, and you will not have the opportunity, as part of your investment decision, to assess whether the proceeds are being used appropriately. It is possible that, pending their use, we may invest those net proceeds in a way that does not yield a favorable, or any, return for us. The failure of our management team to use such funds effectively could have a material adverse effect on our business, financial condition, operating results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involves technology that is not mature and we face significant barriers in our attempts to produce products that meet desired technical specifications. We have not produced a commercially scalable, fault-tolerant quantum computer and face significant barriers in our development and manufacturing efforts. If we cannot successfully overcome those barriers, our business will be negatively impacted and could fail.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is to build fault-tolerant, utility scale quantum computers that are useful and available to people everywhere. Producing quantum computers and other products utilizing quantum technology is a difficult undertaking. There are significant research, development, and manufacturing challenges that we and our business partners must overcome to build our quantum computers and other products. Overcoming such challenges will require advances in both science and engineering, and we and our business partners may not have the ability to deliver those advances. We are still in the development stage and face significant challenges in developing quantum computers with sufficient performance and scale to meet the requirements of commercial use-cases and in producing quantum computers in commercial volumes. Some of the development challenges that could prevent the introduction of our quantum computers and other products within our pipeline include, but are not limited to, failure to find scalable ways to generate, control, and manipulate qubits, failure to reduce photon loss, failure to transition quantum systems to leverage low-cost components, and failure to scale up the relationship of logical qubits to physical qubits. For example, we have currently only demonstrated twelve logical qubits with photon loss not meeting the required levels. Our architecture is designed with a target to scale up to 100,000 physical qubits and up to 500 logical qubits in 2029-2030, which is the widely recognized threshold for achieving broad-based capabilities in commercially valuable applications; however, we may not be successful in reaching that threshold in the near term or at all, or be successful in deploying our quantum computing capabilities to our target customers at scale by such time. Moreover, although photonic qubits can operate at or near room temperature, certain optical and electronic subsystems, such as detectors, qubit generation assemblies or supporting photonic and electronic assemblies may require temperature control or other advanced cooling methods to meet fidelity and stability targets. If our quantum computers require more stringent operating conditions than anticipated, or if we cannot achieve performance targets without advanced cooling methods or temperature controls, our costs, power needs and serviceability could increase, delaying commercialization and impairing customer adoption. Overcoming these development challenges will be time consuming and costly and we do not expect to achieve these results for a number of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and our manufacturing partners will need to develop the manufacturing processes necessary to make these quantum computers and other products within our pipeline in high volume. We have not yet developed partnerships or entered into long term supply agreements for manufacturing or validated or obtained the rights to a manufacturing process, nor acquired the tools or developed the processes or support functions necessary to produce high volumes of our quantum cores, computers, sensors or certain other products within our pipeline that meet all commercial requirements. If a manufacturer fails to deliver or delays the delivery of products within our pipeline, we will be required to seek an alternative source of supply. Although alternate manufacturers are available, any change in suppliers would necessitate a change in the design, a process which could take up to several years and entail higher manufacturing costs, since we do not currently own the intellectual property of the technical specifications related to the manufacturing processes necessary to make quantum computers and other products within our pipeline. If we are not able to overcome these manufacturing hurdles in building our quantum computers and other products there would be a delay in the development and marketing of our products, which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complete development and achieve volume production of our quantum computers and/or other products in our pipeline, if the cost, performance characteristics or other specifications of such products fall short of our projections, our business, financial condition and results of operations would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history of operating losses and negative cash flows, and may not achieve or sustain profitability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net losses and negative cash flows from operations in each period since inception. As of March 31, 2026 and December 31, 2025, we had an accumulated deficit of $228.3 million and $206.3 million, respectively. For the three months ended March 31, 2026 and 2025, we incurred net losses of $20.6 million and $12.2 million, respectively, and we had net cash outflows from operating activities of $7.0 million and $16.3 million, respectively. As of March 31, 2026 and December 31, 2025, we had cash and cash equivalents of $272.5 million and $16.2 million and net working capital of $270.2 million and $31.2 million, respectively. We are a development stage company and have earned limited revenue to date. While we have experienced revenue growth in recent periods, we are not certain whether or when we will obtain a high enough volume of sales to achieve or maintain profitability in the future. We expect to continue to incur additional operating losses and net operating cash outflows, and the rate at which we incur losses will be significantly higher in future periods as we, among other things, continue to incur significant expenses in connection with the design, development, and manufacturing of our quantum computing technology and related software solutions and applications; expand our research and development (“R&amp;D”) activities as we continue to introduce new offerings and services to extend the functionality of our platform; invest in manufacturing capabilities; build up inventories of components for our quantum computers; increase our sales and marketing activities; develop our distribution infrastructure; and increase our general and administrative functions to support our growing operations and operating as a public company. We may find that these efforts are more expensive than we currently anticipate or that these efforts may not result in revenues, which would further increase our losses. If we are unable to achieve and/or sustain profitability, or if we are unable to achieve the growth that we expect from these investments, it could have a material adverse effect on our business, financial condition, or results of operations and could impair our ability to raise capital, expand our business, maintain our development efforts, obtain regulatory approvals, diversify our product offerings, or continue our operations, and may cause the price of our Class B Subordinate Voting Shares to decline. Our business model is unproven and may never allow us to cover our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meet the reliability standards for safety, performance and consistent uptime required by our quantum computing technology and related software solutions and applications.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quantum computing technology and related software solutions and applications, including our cloud-based QCaaS (as defined herein) platform, require that we meet very high reliability standards for safety, performance and consistent uptime. In the past, our QCaaS platform operated under limited hours and at limited capacity. While we are planning to expand and improve our QCaaS operations to reduce or avoid such limitations in the future, any such limitations, disruption or closures could have a material adverse effect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do not adequately fund our R&amp;D efforts or use R&amp;D teams effectively, we may not be able to achieve our technological goals, build scalable, commercial quantum solutions, or compete effectively, and our business and operating results may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photonic quantum computers, QCaaS platform and computing platform technologies are still in early stages of development and will require significant R&amp;D expense and time before our technologies will be available at commercial scale. Maintaining adequate R&amp;D personnel and resources to meet the demands of the market is essential. If we experience high employee or management turnover, or a lack of other R&amp;D resources, we may be unable to achieve our technological and strategic goals. The success of our business is dependent on our R&amp;D teams developing a roadmap that allows us to achieve technical milestones, retain and increase the spending of our existing customers and attract new customers. The quantum technology industry is quickly evolving, and we may invest significantly in particular functionality or integrations that may become obsolete in the future, and any future product offerings, features or enhancements that we develop may be unsuccessful. To help us remain competitive, we must continue to develop new product offerings and reach technological milestones, as well as add features and enhancements to our existing products. The success of any future product offerings, enhancements or features depends on several factors, including our understanding of market demand, timely execution, successful introduction and market acceptance. We may not successfully develop features or products that meet customer needs and our products, if generally made available at commercial scale at all, may not achieve adequate acceptance in the market. Additionally, our products may not result in our ability to recoup our investments in a timely manner, or at all. Our failure to maintain adequate R&amp;D resources, to use our R&amp;D resources efficiently or to compete effectively with the R&amp;D programs of our competitors could materially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quantum computers fail to achieve broad-based capabilities, our business, financial condition and future prospects may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Quantum supremacy” refers to the point at which a quantum computer performs a task that a classical (non-quantum) computer could not complete within a reasonable time frame, regardless of whether the task has any practical or commercial use. “Broad-based capabilities” refers to the point at which quantum computers can perform a task that has commercial value. No current quantum computers, including our quantum hardware, have reached broad-based capabilities, and they may never reach such capabilities. Achieving broad-based capabilities will be critical to the success of any quantum computing company, including us. However, achieving broad-based capabilities would not necessarily lead to commercial viability of the technology that accomplished such capabilities, nor would it mean that such system could outperform classical computers in tasks other than the one used to determine broad-based capabilities.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architecture is designed with a target to scale up to 100,000 physical qubits and up to 500 logical qubits in 2029-2030, which is the widely recognized threshold for achieving broad-based capabilities in commercially valuable applications; however, we may not be successful in reaching that threshold in 2029-2030, or be successful in deploying our quantum computing capabilities to our target customers at scale by such time. If we cannot develop quantum computers that have broad-based capabilities that can better address real world problems relative to classical computing or competing quantum solutions, customers may not continue to purchase our products and services. If other companies’ quantum computers reach broad-based capabilities prior to the time our quantum computers reach such capabilities, such technological breakthroughs could render our quantum technology obsolete or inferior to other products, which could lead to a loss of our customers and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significant risks in launching and scaling our quantum computing technology and related software solutions and applications.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execute our business plan effectively depends on several factors, including market demand, pricing competitiveness, operational efficiency, customer acquisition and retention, regulatory compliance, and access to sufficient capital to support our quantum computers, quantum software and computing platform technologies. If we fail to assess consumer demand accurately or establish a sustainable pricing model, we may not attract enough subscribers to achieve profitability. Additionally, as we have limited experience operating a subscription- and cloud-based quantum computing solution and application, we may encounter unexpected logistical, financial, and technological challenges, which could delay or hinder implementation. For example, while we anticipate that many customers will engage through cloud-based access, not all workloads or industries are amenable to shared compute environments.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customers handling sensitive or classified data, particularly in government and defense sectors, we expect to offer on-premise system deployments. These systems will be installed directly into enterprise or sovereign data centers and supported through long-term service, maintenance, and upgrade agreements, which will require significant expansion in personnel for installation and ongoing support, posing additional operational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growth and expansion of our existing and new quantum computing technology and related software solutions and applications may also subject us to the following additional challenges and constraints: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face challenges in ensuring the productivity of a growing employee base, including recruiting, training, and retaining skilled personnel in areas such as sales and marketing and information technology;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technological or operational challenges associated with cloud-based quantum computing technology and related software solutions and applications and customer service in a subscription model may be more complex than anticipated;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challenges in successfully managing our subscription model, which depends upon our ability to properly price our subscription-based arrangements, maintain systems and processes to properly account for and administer subscriptions, deliver our platform and products, retain our customers, and further develop or acquire related technologies and infrastructure;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execution of our future plans will require significant capital investment and expenditures, and there is no guarantee that we will have access to adequate funding;</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legal and compliance requirements for cloud-based subscription software vary across different jurisdictions and any unfavorable regulatory changes could restrict our ability to operate or scale our software solutions and applications effectively;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General market conditions, consumer preferences, and economic and political developments in Canada, the U.S., in and around Taiwan, Ukraine, the Middle East and other areas of the world.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successfully launch or scale our software solutions and applications, or if they fail to gain sufficient market acceptance, we may not realize the anticipated benefits of this expansion strategy. This could result in financial losses, inefficiencies in resource allocation, and a negative impact on our overall business performance and future growth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these endeavors involve risks and will require significant management, financial, and human resources. We cannot assure you that we will be able to launch and scale our quantum computing technology and related software solutions and applications. There is no assurance that the investment to be made by us as contemplated under our future plans will be successful and generate the expected return. If we are not able to manage our growth or execute our strategies effectively, or at all, our business, results of operations, and prospects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an early-stage company with a limited operating history, it is difficult to forecast our future results of operations and funding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limited operating history, our ability to accurately forecast our future results of operations is limited and subject to a number of uncertainties, including our ability to plan for and model future growth. Our ability to generate revenues will largely be dependent on our ability to develop and produce computing technology and related software solutions and applications with increasing numbers of qubits and to connect those quantum computers via quantum networks. However, our scalable business model has not been formed and it is possible that our latest technical roadmap will not be realized as quickly as expected, or at all. The development of our scalable business model will likely require the incurrence of a substantially higher level of costs than incurred to date, while our revenues will not substantially increase until more powerful, scalable computers are produced, which requires a number of technological advancements that may not occur on the currently anticipated timetable, or at all. Further, in future periods, our growth could slow or decline for a number of reasons, including but not limited to slowing demand for our service offerings, increased competition, changes to technology, inability to scale up our technology, a decrease in the growth of the overall market, or our failure, for any reason, to continue to take advantage of growth opportunities. As a result, our historical results should not be considered indicative of our future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encountered, and will continue to encounter, risks and uncertainties frequently experienced by growing companies in rapidly changing industries. If our assumptions regarding these risks and uncertainties and our future growth are incorrect or change, or if we do not address these risks successfully, our operating and financial results could differ materially from our expectations, and our business could suffer. Our success as a business ultimately relies upon fundamental R&amp;D breakthroughs in the coming years. There is no certainty these R&amp;D milestones will be achieved as quickly as expected,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estimates of market opportunity and forecasts of market growth may prove to be inaccurate.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market opportunity estimates and growth forecasts are subject to significant uncertainty and are based on assumptions and estimates that may not prove to be accurate. The variables that go into the calculation of our market opportunity are subject to change over time, and there is no guarantee that any particular number or percentage of current or prospective customers covered by our market opportunity estimates will purchase our products at all or generate any particular level of revenue for us. In addition, alternatives to quantum computing technology and their related software and applications may present themselves, which could substantially reduce the market for our products. Any expansion in our market depends on a number of factors, including the cost, performance and perceived value associated with our quantum solutions.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methodology and assumptions used to estimate market opportunities may differ materially from the methodologies and assumptions we have historically used to estimate the total addressable market. To estimate the size of our market opportunities and our growth rates, we have relied on publicly available market reports by research and consulting firms, peer-reviewed journals and our own internal estimates. While our estimates of the total addressable market opportunity included in this prospectus are made in good faith and are based on assumptions and estimates we believe to be reasonable under the circumstances, these estimates of the total addressable market and growth forecasts are subject to significant uncertainty, are based on assumptions and estimates that may not prove to be accurate and are based on data published by third parties that we have not independently verified. For example, if advances in classical computing prove more robust for longer than currently anticipated, it could adversely affect the timing of any quantum advantage in commercially meaningful use cases being achieved, if at all. If our estimates of total market opportunity and growth forecasts prove to be inaccurate, it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capital and operating costs for the foreseeable future are difficult to project, inherently variable and are subject to significant change based on a variety of factors including regulatory oversight, operating agreements, supply chain availability, inflation and other factors. Opportunities for cost reductions in quantum cores, logical qubits and other quantum computing and sensing products are similarly uncertain. While we believe our cost estimates are reasonable, they may increase significantly through design maturity, when accounting for supply chain availability or as a result of other factors. To the extent cost reductions in these areas are not achieved within the expected timeframe or magnitude, our products may not be cost competitive with alternative technologies, which may have a material adverse effect on our business prospects, financial condition, results of operations and cash flows and could harm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scale our business quickly enough to meet customer and market demand, which could adversely affect our financial condition and results of operations or cause us to fail to execute on our business strategies.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grow our business, we will need to continually evolve and scale our business and operations to meet customer and market demand. We have a limited sales history for our quantum computing technology and related software solutions and applications, and the majority of our revenue is derived from professional services for research projects, proof of concept development, and quantum education, compute services and our quantum platform-as-a-service offering. Our business model is unproven and we have never sold any of our products at large-scale commercial levels. Evolving and scaling our business and operations places increased demands on our management, as well as our financial and operational resources to:</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continue to develop our quantum computing technology and related software solutions and applications, including by offering QCaaS via cloud platforms and enterprise integrations, and to plan and prepare for future commercialization;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attract new customers and grow our customer base, including by selling dedicated photonic quantum computers for secure or sovereign deployments with ongoing support;</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jc w:val="center"/>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3"/>
        <w:gridCol w:w="9982"/>
      </w:tblGrid>
      <w:tr>
        <w:trPr/>
        <w:tc>
          <w:tcPr>
            <w:tcW w:w="4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both"/>
              <w:rPr/>
            </w:pPr>
            <w:r>
              <w:rPr/>
              <w:t>co-develop intellectual property with strategic partners for revenue sharing and commercialization;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4"/>
        <w:gridCol w:w="9981"/>
      </w:tblGrid>
      <w:tr>
        <w:trPr/>
        <w:tc>
          <w:tcPr>
            <w:tcW w:w="4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w:t>
            </w:r>
          </w:p>
        </w:tc>
        <w:tc>
          <w:tcPr>
            <w:tcW w:w="9981" w:type="dxa"/>
            <w:tcBorders/>
            <w:vAlign w:val="center"/>
          </w:tcPr>
          <w:p>
            <w:pPr>
              <w:pStyle w:val="TableContents"/>
              <w:bidi w:val="0"/>
              <w:spacing w:before="0" w:after="283"/>
              <w:jc w:val="both"/>
              <w:rPr/>
            </w:pPr>
            <w:r>
              <w:rPr/>
              <w:t>commercialize PennyLane through enterprise subscriptions and developer tools for SaaS revenue;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1"/>
        <w:gridCol w:w="9947"/>
      </w:tblGrid>
      <w:tr>
        <w:trPr/>
        <w:tc>
          <w:tcPr>
            <w:tcW w:w="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w:t>
            </w:r>
          </w:p>
        </w:tc>
        <w:tc>
          <w:tcPr>
            <w:tcW w:w="9947" w:type="dxa"/>
            <w:tcBorders/>
            <w:vAlign w:val="center"/>
          </w:tcPr>
          <w:p>
            <w:pPr>
              <w:pStyle w:val="TableContents"/>
              <w:bidi w:val="0"/>
              <w:spacing w:before="0" w:after="283"/>
              <w:jc w:val="both"/>
              <w:rPr/>
            </w:pPr>
            <w:r>
              <w:rPr/>
              <w:t>co-develop proprietary quantum algorithms and applications with industrial partners;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w:t>
            </w:r>
          </w:p>
        </w:tc>
        <w:tc>
          <w:tcPr>
            <w:tcW w:w="9994" w:type="dxa"/>
            <w:tcBorders/>
            <w:vAlign w:val="center"/>
          </w:tcPr>
          <w:p>
            <w:pPr>
              <w:pStyle w:val="TableContents"/>
              <w:bidi w:val="0"/>
              <w:spacing w:before="0" w:after="283"/>
              <w:jc w:val="both"/>
              <w:rPr/>
            </w:pPr>
            <w:r>
              <w:rPr/>
              <w:t>license intellectual property for adjacent markets in classical datacom, sensing, and telecommunications;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monetize our underlying photonics technology and resulting intellectual property in adjacent non-computing markets, including the quantum internet and sensing;</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412"/>
        <w:gridCol w:w="9702"/>
      </w:tblGrid>
      <w:tr>
        <w:trPr/>
        <w:tc>
          <w:tcPr>
            <w:tcW w:w="9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pPr>
            <w:r>
              <w:rPr/>
              <w:t>●</w:t>
            </w:r>
          </w:p>
        </w:tc>
        <w:tc>
          <w:tcPr>
            <w:tcW w:w="9702" w:type="dxa"/>
            <w:tcBorders/>
            <w:vAlign w:val="center"/>
          </w:tcPr>
          <w:p>
            <w:pPr>
              <w:pStyle w:val="TableContents"/>
              <w:bidi w:val="0"/>
              <w:spacing w:before="0" w:after="283"/>
              <w:jc w:val="both"/>
              <w:rPr/>
            </w:pPr>
            <w:r>
              <w:rPr/>
              <w:t>effectively manage organizational change;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645"/>
        <w:gridCol w:w="9416"/>
      </w:tblGrid>
      <w:tr>
        <w:trPr/>
        <w:tc>
          <w:tcPr>
            <w:tcW w:w="14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pPr>
            <w:r>
              <w:rPr/>
              <w:t>●</w:t>
            </w:r>
          </w:p>
        </w:tc>
        <w:tc>
          <w:tcPr>
            <w:tcW w:w="9416" w:type="dxa"/>
            <w:tcBorders/>
            <w:vAlign w:val="center"/>
          </w:tcPr>
          <w:p>
            <w:pPr>
              <w:pStyle w:val="TableContents"/>
              <w:bidi w:val="0"/>
              <w:spacing w:before="0" w:after="283"/>
              <w:jc w:val="both"/>
              <w:rPr/>
            </w:pPr>
            <w:r>
              <w:rPr/>
              <w:t>design scalable processes;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386"/>
        <w:gridCol w:w="9733"/>
      </w:tblGrid>
      <w:tr>
        <w:trPr/>
        <w:tc>
          <w:tcPr>
            <w:tcW w:w="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pPr>
            <w:r>
              <w:rPr/>
              <w:t>●</w:t>
            </w:r>
          </w:p>
        </w:tc>
        <w:tc>
          <w:tcPr>
            <w:tcW w:w="9733" w:type="dxa"/>
            <w:tcBorders/>
            <w:vAlign w:val="center"/>
          </w:tcPr>
          <w:p>
            <w:pPr>
              <w:pStyle w:val="TableContents"/>
              <w:bidi w:val="0"/>
              <w:spacing w:before="0" w:after="283"/>
              <w:jc w:val="both"/>
              <w:rPr/>
            </w:pPr>
            <w:r>
              <w:rPr/>
              <w:t>accelerate and/or refocus our R&amp;D activities;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284"/>
        <w:gridCol w:w="9858"/>
      </w:tblGrid>
      <w:tr>
        <w:trPr/>
        <w:tc>
          <w:tcPr>
            <w:tcW w:w="6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w:t>
            </w:r>
          </w:p>
        </w:tc>
        <w:tc>
          <w:tcPr>
            <w:tcW w:w="9858" w:type="dxa"/>
            <w:tcBorders/>
            <w:vAlign w:val="center"/>
          </w:tcPr>
          <w:p>
            <w:pPr>
              <w:pStyle w:val="TableContents"/>
              <w:bidi w:val="0"/>
              <w:spacing w:before="0" w:after="283"/>
              <w:jc w:val="both"/>
              <w:rPr/>
            </w:pPr>
            <w:r>
              <w:rPr/>
              <w:t>expand manufacturing, supply chain and distribution capacity;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475"/>
        <w:gridCol w:w="9624"/>
      </w:tblGrid>
      <w:tr>
        <w:trPr/>
        <w:tc>
          <w:tcPr>
            <w:tcW w:w="10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pPr>
            <w:r>
              <w:rPr/>
              <w:t>●</w:t>
            </w:r>
          </w:p>
        </w:tc>
        <w:tc>
          <w:tcPr>
            <w:tcW w:w="9624" w:type="dxa"/>
            <w:tcBorders/>
            <w:vAlign w:val="center"/>
          </w:tcPr>
          <w:p>
            <w:pPr>
              <w:pStyle w:val="TableContents"/>
              <w:bidi w:val="0"/>
              <w:spacing w:before="0" w:after="283"/>
              <w:jc w:val="both"/>
              <w:rPr/>
            </w:pPr>
            <w:r>
              <w:rPr/>
              <w:t>increase sales and marketing efforts;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342"/>
        <w:gridCol w:w="9787"/>
      </w:tblGrid>
      <w:tr>
        <w:trPr/>
        <w:tc>
          <w:tcPr>
            <w:tcW w:w="7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pPr>
            <w:r>
              <w:rPr/>
              <w:t>●</w:t>
            </w:r>
          </w:p>
        </w:tc>
        <w:tc>
          <w:tcPr>
            <w:tcW w:w="9787" w:type="dxa"/>
            <w:tcBorders/>
            <w:vAlign w:val="center"/>
          </w:tcPr>
          <w:p>
            <w:pPr>
              <w:pStyle w:val="TableContents"/>
              <w:bidi w:val="0"/>
              <w:spacing w:before="0" w:after="283"/>
              <w:jc w:val="both"/>
              <w:rPr/>
            </w:pPr>
            <w:r>
              <w:rPr/>
              <w:t>broaden customer support and services capabilities;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392"/>
        <w:gridCol w:w="9726"/>
      </w:tblGrid>
      <w:tr>
        <w:trPr/>
        <w:tc>
          <w:tcPr>
            <w:tcW w:w="8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pPr>
            <w:r>
              <w:rPr/>
              <w:t>●</w:t>
            </w:r>
          </w:p>
        </w:tc>
        <w:tc>
          <w:tcPr>
            <w:tcW w:w="9726" w:type="dxa"/>
            <w:tcBorders/>
            <w:vAlign w:val="center"/>
          </w:tcPr>
          <w:p>
            <w:pPr>
              <w:pStyle w:val="TableContents"/>
              <w:bidi w:val="0"/>
              <w:spacing w:before="0" w:after="283"/>
              <w:jc w:val="both"/>
              <w:rPr/>
            </w:pPr>
            <w:r>
              <w:rPr/>
              <w:t>maintain or increase operational efficiencies;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343"/>
        <w:gridCol w:w="9786"/>
      </w:tblGrid>
      <w:tr>
        <w:trPr/>
        <w:tc>
          <w:tcPr>
            <w:tcW w:w="7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w:t>
            </w:r>
          </w:p>
        </w:tc>
        <w:tc>
          <w:tcPr>
            <w:tcW w:w="9786" w:type="dxa"/>
            <w:tcBorders/>
            <w:vAlign w:val="center"/>
          </w:tcPr>
          <w:p>
            <w:pPr>
              <w:pStyle w:val="TableContents"/>
              <w:bidi w:val="0"/>
              <w:spacing w:before="0" w:after="283"/>
              <w:jc w:val="both"/>
              <w:rPr/>
            </w:pPr>
            <w:r>
              <w:rPr/>
              <w:t>scale support operations in a cost-effective manner;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89"/>
        <w:gridCol w:w="9852"/>
      </w:tblGrid>
      <w:tr>
        <w:trPr/>
        <w:tc>
          <w:tcPr>
            <w:tcW w:w="6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w:t>
            </w:r>
          </w:p>
        </w:tc>
        <w:tc>
          <w:tcPr>
            <w:tcW w:w="9852" w:type="dxa"/>
            <w:tcBorders/>
            <w:vAlign w:val="center"/>
          </w:tcPr>
          <w:p>
            <w:pPr>
              <w:pStyle w:val="TableContents"/>
              <w:bidi w:val="0"/>
              <w:spacing w:before="0" w:after="283"/>
              <w:jc w:val="both"/>
              <w:rPr/>
            </w:pPr>
            <w:r>
              <w:rPr/>
              <w:t>implement appropriate operational and financial systems;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281"/>
        <w:gridCol w:w="9862"/>
      </w:tblGrid>
      <w:tr>
        <w:trPr/>
        <w:tc>
          <w:tcPr>
            <w:tcW w:w="6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w:t>
            </w:r>
          </w:p>
        </w:tc>
        <w:tc>
          <w:tcPr>
            <w:tcW w:w="9862" w:type="dxa"/>
            <w:tcBorders/>
            <w:vAlign w:val="center"/>
          </w:tcPr>
          <w:p>
            <w:pPr>
              <w:pStyle w:val="TableContents"/>
              <w:bidi w:val="0"/>
              <w:spacing w:before="0" w:after="283"/>
              <w:jc w:val="both"/>
              <w:rPr/>
            </w:pPr>
            <w:r>
              <w:rPr/>
              <w:t>maintain effective financial disclosure controls and procedures.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production of quantum computing technology and related applications may never occur. We have no experience in producing large quantities of our quantum computing technology and related software solutions and applications and are currently in the early stages of development of our products. There are significant technological and logistical challenges associated with developing, producing, marketing, selling and distributing products in an advanced technology industry, including our products, and we may not be able to resolve all of the difficulties that may arise, including managing production at a scale or quality consistent with customer demand, in a timely or cost-effective manner,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cannot evolve and scale our business and operations effectively, we may not be able to execute our business strategies in a cost-effective manner and our business, financial condition and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 adoption of cloud-based quantum computing technology and related software solutions and applications is relatively new and unproven and may not grow as we expect and, even if market demand increases, the demand for our cloud-based QCaaS may not increase, or certain customers may be reluctant to use a cloud-based QCaaS for applications, any of which may harm our business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derive much of our revenue from our cloud-based quantum computing technology and related software solutions and applications, which we expect to continue for the foreseeable future. As such, the market acceptance of our platform is critical to our continued success. To date, we have generated limited revenue from QCaaS. It is difficult to predict customer adoption rates and demand for our solutions and professional services, the entry of competitive platforms and service providers, or the future growth rate and size of our markets.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for cloud-based solutions to be widely accepted, organizations must overcome any concerns with moving sensitive information to a cloud-based platform. Demand for our platform in particular is affected by a number of other factors, some of which are beyond our control. These factors include continued market acceptance of our cloud-based quantum computing platform and cloud-based QCaaS, the pace at which existing customers realize benefits from the use of our platform and decide to expand deployment of our platform across their business, the timing of development and release of new products by our competitors, technological change, reliability and security, the pace at which enterprises undergo digital transformation, and developments in data privacy regulations. Furthermore, we expect that the needs of our customers will continue to rapidly change and increase in complexity. We will need to continually improve the functionality and performance of our platform to meet those rapidly changing, complex demands. If we are unable to continue to meet customer demands or to achieve more widespread market acceptance of relevant solutions in general or our platform in particular, our business operations, financial results, and growth prospects will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derive a significant amount of our revenues from a few significant customers. The loss of a significant customer could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substantial percentage of our current revenues are generated from a relatively small number of customers and the loss of a significant customer could materially and adversely affect us. For the three months ended March 31, 2026, 72.0% of our revenues was attributable to one customer. For the three months ended March 31, 2025, 75.0% of our revenues were attributable to four customers, contributing 35%, 19%, 11%, and 10% respectively. For the year ended December 31, 2025, 78% of our revenues were attributable to three customers, each contributing 44%, 20%, and 14%. For the year ended December 31, 2024, 63% of our revenues were attributable to two customers, each contributing 53% and 10%, respectively. For the year ended December 31, 2023, 85% of our revenues were attributable to two customers, each contributing 70% and 15%,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agreements with significant customers generally fall into two categories and cover four different customers. The first relates to commercial agreements with private entities, which typically feature multi-year initial terms with defined renewal options, such as by prior written notice or automatically unless terminated, and include specific clauses for termination for convenience and for cause. In contrast, the second relates to our contracts with the Canadian and United States governments, which are for shorter, fixed periods (ranging from six months to two years). These agreements typically incorporate standard government-wide general conditions, including customer-friendly termination for convenience and termination for default provisions. These agreements with our significant customers are generally dependent on, and subject to, our ability to demonstrate the technological feasibility of our products and services, as well as research and development of our technology.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results of operations could be adversely affected if any of our significant customers terminate their contracts with us, fail to renew their existing contracts, or do not enter into new contracts with us. Replacing significant customers is difficult, and it is unlikely we would be able to replace such a loss in revenue from a single or a few larger customers. The loss of one or more of our larger customers could have a material adverse effect on our business, financial condition, results of operations and ability to meet our obligations. In addition, if a significant customer experiences liquidity constraints or other financial difficulties it may be unable to make required payments to us or seek to renegotiate contracts, which could adversely affect our liquidity and profitability. While the loss of any single customer is currently unlikely to have a material adverse effect on our business, financial condition, results of operations and ability to meet our obligations given our early-revenue stage, this risk increases as we advance further along our path to commercialization.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could be harmed if we fail to manage growth effectively.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manage growth effectively, our business, results of operations and financial condition could be harmed. We anticipate that a period of significant expansion will be required to address the growth of our operations and personnel that will be necessary to develop and commercialize our existing and new quantum computing technology and related software solutions and applications. This expansion will place a significant strain on our management, operational and financial resources. Expansion will require significant cash investments and management resources, and there is no guarantee that they will generate additional sales of our products, or that we will be able to avoid cost overruns or hire additional personnel to support this growth as required. In addition, we will also need to ensure our compliance with regulatory requirements in various jurisdictions applicable to the sale, installation and servicing of our products. To manage the growth of our operations and personnel, we must establish appropriate and scalable operational and financial systems, procedures and controls and establish and maintain qualified finance, administrative and operations staff. We may be unable to acquire the necessary capabilities and personnel required to manage growth or to identify, manage and exploit potential strategic relationships and market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quarterly revenues are hard to predict, and may not grow at the rates at which you expect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was $2.8 million for the three months ended March 31, 2026, which was primarily attributable to  our advancement to Stage B of the U.S. Defense Advanced Research Projects Agency led program assessing and validating quantum computing system performance against standardized metrics, $0.7 million for the three months ended March 31, 2025, $4.6 million for the fiscal year ended December 31, 2025, consisting primarily of professional services for application development and proof of concept, and $1.6 million for the fiscal year ended December 31, 2024. We do not currently have quantum computers available for commercial sale beyond those in the beta stage of development. You should not rely on the revenue growth of any prior quarterly or annual period, either individually or collectively, as an indication of our future performance. Even if our revenue increases in the future, we expect that our revenue growth rate will fluctuate as a result of a variety of factors, including as we continue to develop our quantum computing technology and related software solutions and applications.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growth of our revenue also depends on a number of factors, including our ability to:</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expand the features and functionality of our quantum computing technology and related software solutions and applications;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4"/>
        <w:gridCol w:w="9870"/>
      </w:tblGrid>
      <w:tr>
        <w:trPr/>
        <w:tc>
          <w:tcPr>
            <w:tcW w:w="6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w:t>
            </w:r>
          </w:p>
        </w:tc>
        <w:tc>
          <w:tcPr>
            <w:tcW w:w="9870" w:type="dxa"/>
            <w:tcBorders/>
            <w:vAlign w:val="center"/>
          </w:tcPr>
          <w:p>
            <w:pPr>
              <w:pStyle w:val="TableContents"/>
              <w:bidi w:val="0"/>
              <w:spacing w:before="0" w:after="283"/>
              <w:jc w:val="both"/>
              <w:rPr/>
            </w:pPr>
            <w:r>
              <w:rPr/>
              <w:t>extend our product leadership to expand our addressable market;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differentiate our quantum computing technology and related software solutions and applications from similar platforms offered by others;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273"/>
        <w:gridCol w:w="9872"/>
      </w:tblGrid>
      <w:tr>
        <w:trPr/>
        <w:tc>
          <w:tcPr>
            <w:tcW w:w="6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w:t>
            </w:r>
          </w:p>
        </w:tc>
        <w:tc>
          <w:tcPr>
            <w:tcW w:w="9872" w:type="dxa"/>
            <w:tcBorders/>
            <w:vAlign w:val="center"/>
          </w:tcPr>
          <w:p>
            <w:pPr>
              <w:pStyle w:val="TableContents"/>
              <w:bidi w:val="0"/>
              <w:spacing w:before="0" w:after="283"/>
              <w:jc w:val="both"/>
              <w:rPr/>
            </w:pPr>
            <w:r>
              <w:rPr/>
              <w:t>successfully develop a substantial sales pipeline for our products;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hire sufficient sales personnel to support our growth and reduce the time for such personnel to achieve desired productivity levels;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attract new customers and expand sales to our existing customers, including by effectively marketing and pricing our quantum computing technology and related software solutions and applications;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increase awareness of our brand on a global basis as a quantum computing leader to successfully compete with other companies;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03"/>
        <w:gridCol w:w="9835"/>
      </w:tblGrid>
      <w:tr>
        <w:trPr/>
        <w:tc>
          <w:tcPr>
            <w:tcW w:w="6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pPr>
            <w:r>
              <w:rPr/>
              <w:t>●</w:t>
            </w:r>
          </w:p>
        </w:tc>
        <w:tc>
          <w:tcPr>
            <w:tcW w:w="9835" w:type="dxa"/>
            <w:tcBorders/>
            <w:vAlign w:val="center"/>
          </w:tcPr>
          <w:p>
            <w:pPr>
              <w:pStyle w:val="TableContents"/>
              <w:bidi w:val="0"/>
              <w:spacing w:before="0" w:after="283"/>
              <w:jc w:val="both"/>
              <w:rPr/>
            </w:pPr>
            <w:r>
              <w:rPr/>
              <w:t>provide our customers with support that meets their needs;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19"/>
        <w:gridCol w:w="9815"/>
      </w:tblGrid>
      <w:tr>
        <w:trPr/>
        <w:tc>
          <w:tcPr>
            <w:tcW w:w="7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w:t>
            </w:r>
          </w:p>
        </w:tc>
        <w:tc>
          <w:tcPr>
            <w:tcW w:w="9815" w:type="dxa"/>
            <w:tcBorders/>
            <w:vAlign w:val="center"/>
          </w:tcPr>
          <w:p>
            <w:pPr>
              <w:pStyle w:val="TableContents"/>
              <w:bidi w:val="0"/>
              <w:spacing w:before="0" w:after="283"/>
              <w:jc w:val="both"/>
              <w:rPr/>
            </w:pPr>
            <w:r>
              <w:rPr/>
              <w:t>effectively leverage and expand our partner ecosystem;</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5"/>
        <w:gridCol w:w="515"/>
        <w:gridCol w:w="9575"/>
      </w:tblGrid>
      <w:tr>
        <w:trPr/>
        <w:tc>
          <w:tcPr>
            <w:tcW w:w="1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pPr>
            <w:r>
              <w:rPr/>
              <w:t>●</w:t>
            </w:r>
          </w:p>
        </w:tc>
        <w:tc>
          <w:tcPr>
            <w:tcW w:w="9575" w:type="dxa"/>
            <w:tcBorders/>
            <w:vAlign w:val="center"/>
          </w:tcPr>
          <w:p>
            <w:pPr>
              <w:pStyle w:val="TableContents"/>
              <w:bidi w:val="0"/>
              <w:spacing w:before="0" w:after="283"/>
              <w:jc w:val="both"/>
              <w:rPr/>
            </w:pPr>
            <w:r>
              <w:rPr/>
              <w:t>protect against security incidents;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8"/>
        <w:gridCol w:w="9988"/>
      </w:tblGrid>
      <w:tr>
        <w:trPr/>
        <w:tc>
          <w:tcPr>
            <w:tcW w:w="3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w:t>
            </w:r>
          </w:p>
        </w:tc>
        <w:tc>
          <w:tcPr>
            <w:tcW w:w="9988" w:type="dxa"/>
            <w:tcBorders/>
            <w:vAlign w:val="center"/>
          </w:tcPr>
          <w:p>
            <w:pPr>
              <w:pStyle w:val="TableContents"/>
              <w:bidi w:val="0"/>
              <w:spacing w:before="0" w:after="283"/>
              <w:jc w:val="both"/>
              <w:rPr/>
            </w:pPr>
            <w:r>
              <w:rPr/>
              <w:t>successfully protect our intellectual property in Canada, the United States and other jurisdictions;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50"/>
        <w:gridCol w:w="9900"/>
      </w:tblGrid>
      <w:tr>
        <w:trPr/>
        <w:tc>
          <w:tcPr>
            <w:tcW w:w="5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expand to new international markets and grow within existing markets.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may not successfully accomplish any of these objectives, and as a result, it is difficult for us to forecast our future results of operations. If the assumptions that we use to plan our business are incorrect or if we are unable to maintain consistent revenue or revenue growth, we may not be able to achieve and maintain profitability.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expect to continue to expend substantial financial and other resources on:</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development of new products, features and functionality for our existing and future quantum computing technology and related software solutions and applications;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w:t>
            </w:r>
          </w:p>
        </w:tc>
        <w:tc>
          <w:tcPr>
            <w:tcW w:w="9995" w:type="dxa"/>
            <w:tcBorders/>
            <w:vAlign w:val="center"/>
          </w:tcPr>
          <w:p>
            <w:pPr>
              <w:pStyle w:val="TableContents"/>
              <w:bidi w:val="0"/>
              <w:spacing w:before="0" w:after="283"/>
              <w:jc w:val="both"/>
              <w:rPr/>
            </w:pPr>
            <w:r>
              <w:rPr/>
              <w:t>the physical assets and facilities required to enable our product development and product manufacturing;</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3"/>
        <w:gridCol w:w="731"/>
        <w:gridCol w:w="9311"/>
      </w:tblGrid>
      <w:tr>
        <w:trPr/>
        <w:tc>
          <w:tcPr>
            <w:tcW w:w="16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pPr>
            <w:r>
              <w:rPr/>
              <w:t>●</w:t>
            </w:r>
          </w:p>
        </w:tc>
        <w:tc>
          <w:tcPr>
            <w:tcW w:w="9311" w:type="dxa"/>
            <w:tcBorders/>
            <w:vAlign w:val="center"/>
          </w:tcPr>
          <w:p>
            <w:pPr>
              <w:pStyle w:val="TableContents"/>
              <w:bidi w:val="0"/>
              <w:spacing w:before="0" w:after="283"/>
              <w:jc w:val="both"/>
              <w:rPr/>
            </w:pPr>
            <w:r>
              <w:rPr/>
              <w:t>our partner ecosystem;</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5"/>
        <w:gridCol w:w="696"/>
        <w:gridCol w:w="9354"/>
      </w:tblGrid>
      <w:tr>
        <w:trPr/>
        <w:tc>
          <w:tcPr>
            <w:tcW w:w="155"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pPr>
            <w:r>
              <w:rPr/>
              <w:t>●</w:t>
            </w:r>
          </w:p>
        </w:tc>
        <w:tc>
          <w:tcPr>
            <w:tcW w:w="9354" w:type="dxa"/>
            <w:tcBorders/>
            <w:vAlign w:val="center"/>
          </w:tcPr>
          <w:p>
            <w:pPr>
              <w:pStyle w:val="TableContents"/>
              <w:bidi w:val="0"/>
              <w:spacing w:before="0" w:after="283"/>
              <w:jc w:val="both"/>
              <w:rPr/>
            </w:pPr>
            <w:r>
              <w:rPr/>
              <w:t>international expansion;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5"/>
        <w:gridCol w:w="472"/>
        <w:gridCol w:w="9628"/>
      </w:tblGrid>
      <w:tr>
        <w:trPr/>
        <w:tc>
          <w:tcPr>
            <w:tcW w:w="10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pPr>
            <w:r>
              <w:rPr/>
              <w:t>●</w:t>
            </w:r>
          </w:p>
        </w:tc>
        <w:tc>
          <w:tcPr>
            <w:tcW w:w="9628" w:type="dxa"/>
            <w:tcBorders/>
            <w:vAlign w:val="center"/>
          </w:tcPr>
          <w:p>
            <w:pPr>
              <w:pStyle w:val="TableContents"/>
              <w:bidi w:val="0"/>
              <w:spacing w:before="0" w:after="283"/>
              <w:jc w:val="both"/>
              <w:rPr/>
            </w:pPr>
            <w:r>
              <w:rPr/>
              <w:t>acquisitions or strategic investments;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expansion and enablement of our sales and marketing organizations to increase brand awareness and drive adoption of our solutions;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general administration, including increased legal, human resources, compliance and accounting expenses associated with being a public company.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investments may not result in increased revenue for our business. If we are unable to maintain or increase our revenue at a rate sufficient to offset the expected increase in our costs, our business, financial condition and results of operations will be harmed, and we may not be able to achieve or maintain profitability. Additionally, we may encounter unforeseen operating expenses, difficulties, complications, delays, decreased revenue growth associated with general macroeconomic and market conditions, volatility or disruptions (including the effect of those events on our customers) and other unknown factors that may result in losses in future periods. If our revenue does not meet our expectations in future periods, our business, financial condition and results of operations may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require substantial additional capital to pursue our business objectives and respond to business opportunities, challenges or unforeseen circumstances, and we cannot be sure that additional financing will be available.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our future plans for expansion are capital-intensive, and the specific timing of cash inflows and outflows may fluctuate substantially from period to period. We believe that our cash and cash equivalents as of March 31, 2026 are sufficient to meet our anticipated operating cash needs for at least the next 12 months based on our current business plan, and expectations and assumptions, considering current macroeconomic conditions. Our operating plan may change because of factors currently unknown, and we may need to seek additional funds sooner than planned, through public or private equity or debt financings or other sources, such as strategic collaborations or government contracts. In addition, we may seek additional capital due to favorable market conditions or strategic considerations even if we believe that we have sufficient funds for current or future operating plans. Any such financings may result in dilution to Shareholders, issuance of securities with priority as to liquidation and dividends and other rights more favorable than our Shares, imposition of debt covenants and repayment obligations or other restrictions that may adversely affect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financing will be available to us on favorable terms, or at all. Weakness and volatility in capital markets and the economy, in general or as a result of bank failures or macroeconomic conditions, such as high inflation, interest rates, geopolitical events and changes in government policies, could limit our access to capital markets and increase our costs of borrowing. The inability to obtain financing when needed may make it more difficult for us to operate our business or implement and execute our quantum computing growth plans and may require us to scale back our operating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or may be subject to risks associated with our current or future customers, partnerships or strategic relationships, and we may not be able to maintain our current strategic partnerships, including relationships with certain government entities or prime contractors, or realize the anticipated benefits from any such relationships or opportunities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binding and non-binding memoranda of understanding and letters of intent (collectively, “MOUs”) with certain key collaborators and development partners with the goal of advancing our technologies and expanding our strategic relationships in the future. We may in the future enter into additional strategic partnerships through similar MOUs. There is no guarantee that any of our MOUs will lead to lasting or successful business relationships with such collaborators and/or development partners, or that any of our development partnerships will ultimately lead to advancement of commercial products. These strategic partnerships may subject us to several risks, including risks associated with sharing proprietary information, non-performance by third parties, and increased expenses in establishing new strategic partnerships, any of which may materially and adversely affect our business. We may have limited ability to monitor or control the actions of these third parties and, to the extent that any of these third parties suffer negative publicity or harm to their reputation from events relating to our business, we may be required to indemnify such parties. We may also suffer negative publicity or harm to our reputation by virtue of our association with any such third party.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and may enter into, strategic partnerships to develop our current and future R&amp;D programs with government and other public entities to accomplish one or more of the following: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develop utility-scale, photonic quantum computing technology and related software solutions and applications;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241"/>
        <w:gridCol w:w="9911"/>
      </w:tblGrid>
      <w:tr>
        <w:trPr/>
        <w:tc>
          <w:tcPr>
            <w:tcW w:w="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w:t>
            </w:r>
          </w:p>
        </w:tc>
        <w:tc>
          <w:tcPr>
            <w:tcW w:w="9911" w:type="dxa"/>
            <w:tcBorders/>
            <w:vAlign w:val="center"/>
          </w:tcPr>
          <w:p>
            <w:pPr>
              <w:pStyle w:val="TableContents"/>
              <w:bidi w:val="0"/>
              <w:spacing w:before="0" w:after="283"/>
              <w:jc w:val="both"/>
              <w:rPr/>
            </w:pPr>
            <w:r>
              <w:rPr/>
              <w:t>develop manufacturing processes for low loss photonic integrated circuits;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478"/>
        <w:gridCol w:w="9621"/>
      </w:tblGrid>
      <w:tr>
        <w:trPr/>
        <w:tc>
          <w:tcPr>
            <w:tcW w:w="10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pPr>
            <w:r>
              <w:rPr/>
              <w:t>●</w:t>
            </w:r>
          </w:p>
        </w:tc>
        <w:tc>
          <w:tcPr>
            <w:tcW w:w="9621" w:type="dxa"/>
            <w:tcBorders/>
            <w:vAlign w:val="center"/>
          </w:tcPr>
          <w:p>
            <w:pPr>
              <w:pStyle w:val="TableContents"/>
              <w:bidi w:val="0"/>
              <w:spacing w:before="0" w:after="283"/>
              <w:jc w:val="both"/>
              <w:rPr/>
            </w:pPr>
            <w:r>
              <w:rPr/>
              <w:t>obtain expertise in relevant markets;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374"/>
        <w:gridCol w:w="9748"/>
      </w:tblGrid>
      <w:tr>
        <w:trPr/>
        <w:tc>
          <w:tcPr>
            <w:tcW w:w="8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pPr>
            <w:r>
              <w:rPr/>
              <w:t>●</w:t>
            </w:r>
          </w:p>
        </w:tc>
        <w:tc>
          <w:tcPr>
            <w:tcW w:w="9748" w:type="dxa"/>
            <w:tcBorders/>
            <w:vAlign w:val="center"/>
          </w:tcPr>
          <w:p>
            <w:pPr>
              <w:pStyle w:val="TableContents"/>
              <w:bidi w:val="0"/>
              <w:spacing w:before="0" w:after="283"/>
              <w:jc w:val="both"/>
              <w:rPr/>
            </w:pPr>
            <w:r>
              <w:rPr/>
              <w:t>obtain sales and marketing services or support;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1"/>
        <w:gridCol w:w="545"/>
        <w:gridCol w:w="9539"/>
      </w:tblGrid>
      <w:tr>
        <w:trPr/>
        <w:tc>
          <w:tcPr>
            <w:tcW w:w="12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pPr>
            <w:r>
              <w:rPr/>
              <w:t>●</w:t>
            </w:r>
          </w:p>
        </w:tc>
        <w:tc>
          <w:tcPr>
            <w:tcW w:w="9539" w:type="dxa"/>
            <w:tcBorders/>
            <w:vAlign w:val="center"/>
          </w:tcPr>
          <w:p>
            <w:pPr>
              <w:pStyle w:val="TableContents"/>
              <w:bidi w:val="0"/>
              <w:spacing w:before="0" w:after="283"/>
              <w:jc w:val="both"/>
              <w:rPr/>
            </w:pPr>
            <w:r>
              <w:rPr/>
              <w:t>obtain equipment and facilities;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379"/>
        <w:gridCol w:w="9742"/>
      </w:tblGrid>
      <w:tr>
        <w:trPr/>
        <w:tc>
          <w:tcPr>
            <w:tcW w:w="8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pPr>
            <w:r>
              <w:rPr/>
              <w:t>●</w:t>
            </w:r>
          </w:p>
        </w:tc>
        <w:tc>
          <w:tcPr>
            <w:tcW w:w="9742" w:type="dxa"/>
            <w:tcBorders/>
            <w:vAlign w:val="center"/>
          </w:tcPr>
          <w:p>
            <w:pPr>
              <w:pStyle w:val="TableContents"/>
              <w:bidi w:val="0"/>
              <w:spacing w:before="0" w:after="283"/>
              <w:jc w:val="both"/>
              <w:rPr/>
            </w:pPr>
            <w:r>
              <w:rPr/>
              <w:t>develop quantum algorithms and applications;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9"/>
        <w:gridCol w:w="9828"/>
      </w:tblGrid>
      <w:tr>
        <w:trPr/>
        <w:tc>
          <w:tcPr>
            <w:tcW w:w="6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w:t>
            </w:r>
          </w:p>
        </w:tc>
        <w:tc>
          <w:tcPr>
            <w:tcW w:w="9828" w:type="dxa"/>
            <w:tcBorders/>
            <w:vAlign w:val="center"/>
          </w:tcPr>
          <w:p>
            <w:pPr>
              <w:pStyle w:val="TableContents"/>
              <w:bidi w:val="0"/>
              <w:spacing w:before="0" w:after="283"/>
              <w:jc w:val="both"/>
              <w:rPr/>
            </w:pPr>
            <w:r>
              <w:rPr/>
              <w:t>develop the quantum software stack including compilers;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5"/>
        <w:gridCol w:w="9832"/>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w:t>
            </w:r>
          </w:p>
        </w:tc>
        <w:tc>
          <w:tcPr>
            <w:tcW w:w="9832" w:type="dxa"/>
            <w:tcBorders/>
            <w:vAlign w:val="center"/>
          </w:tcPr>
          <w:p>
            <w:pPr>
              <w:pStyle w:val="TableContents"/>
              <w:bidi w:val="0"/>
              <w:spacing w:before="0" w:after="283"/>
              <w:jc w:val="both"/>
              <w:rPr/>
            </w:pPr>
            <w:r>
              <w:rPr/>
              <w:t>develop relationships with potential future customers;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3"/>
        <w:gridCol w:w="909"/>
        <w:gridCol w:w="9093"/>
      </w:tblGrid>
      <w:tr>
        <w:trPr/>
        <w:tc>
          <w:tcPr>
            <w:tcW w:w="203"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pPr>
            <w:r>
              <w:rPr/>
              <w:t>●</w:t>
            </w:r>
          </w:p>
        </w:tc>
        <w:tc>
          <w:tcPr>
            <w:tcW w:w="9093" w:type="dxa"/>
            <w:tcBorders/>
            <w:vAlign w:val="center"/>
          </w:tcPr>
          <w:p>
            <w:pPr>
              <w:pStyle w:val="TableContents"/>
              <w:bidi w:val="0"/>
              <w:spacing w:before="0" w:after="283"/>
              <w:jc w:val="both"/>
              <w:rPr/>
            </w:pPr>
            <w:r>
              <w:rPr/>
              <w:t>generate revenue.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partnerships and ongoing customer relationships will be an important factor in the growth and success of our business. However, there are no assurances that we will be able to continue to identify or secure suitable business relationship opportunities in the future, and our competitors may capitalize on such opportunities before we do. Moreover, identifying such opportunities could require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financial condition, and operating results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required to record significant charges for impairment of our long-lived assets, other assets or investments as a result of an adverse change in market conditions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adverse change in market conditions, including a negative change to our position in the market, or lack of growth in demand for our products could be considered to be an impairment triggering event. Such changes in the future could impact valuation assumptions relating to the recoverability of assets and may result in impairment charges to our long-lived assets, other assets or investments, which would have a material adverse effect on our operating results and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inherent uncertainties in management’s estimates, judgments and assumptions used in assessing recoverability of intangible and other long-lived assets. Any material changes in key assumptions, including failure to meet business plans, a deterioration in the U.S., Canadian and global financial markets, an increase in interest rates or an increase in the cost of equity financing by market participants within the industry or other unanticipated events and circumstances, may decrease our projected cash flows or increase discount rates and could potentially result in an impairment charge. From time to time, we may be required to record a significant charge to earnings in our consolidated financial statements during the period in which any impairment of our long-lived assets is determined, which might have a materially adverse impact on our business operations and our financial position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quantum computing technology and related software solutions and applications are not compatible with some or all industry-standard hardware and software in the future, our business could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Programming for quantum computing technology and related software solutions and applications requires unique tools, software, hardware, and development environments. We have focused our efforts on creating full-stack quantum computing technology and related software solutions and applications utilizing photonic-based quantum computing hardware with a modality-agnostic software platform. We rely on third parties to create and advance hardware, software, standards, specifications, applications, and services that enable these systems to integrate into various environments and be utilized for various customer use cases. Full utilization of our quantum computing technology and related software solutions and applications may depend on these third-party hardware, software, standards, specifications, applications, and services, which may not be compatible with our quantum computing technology and related software solutions and applications and their development, or may not be available to us or our customers on commercially reasonable terms, or at all, which could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customers are unable to achieve compatibility between our quantum hardware and software and other hardware and software, it could impact our relationships with such customers or with customers generally, if the incompatibility is more widespread. In addition, the mere announcement of an incompatibility problem relating to our products with higher level hardware and software tools could cause us to suffer reputational harm and/or lead to a loss of customers. Any adverse impacts from the incompatibility of our quantum solutions could adversely affect our business, operating results,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expend our resources to pursue particular products, designs, sectors or investments and we may fail to capitalize on such products, designs, sectors or investments and/or forego other products, designs, sectors or investments that may have been more profitable or for which there may have been a greater likelihood of success.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limited financial and operational resources. As such, we must prioritize our R&amp;D for use of quantum technology within certain products, designs sectors or investments. Correctly prioritizing our R&amp;D activities is particularly important for us due to the breadth of companies building or seeking to build quantum solutions that can meet the requirements for solving commercial problems. Our resource allocation decisions may cause us to forego or delay pursuit of opportunities in other products, designs, sectors or investments that later prove to have greater commercial potential and ability to achieve quantum advantage, which would have a material adverse effect on our business, prospects and financial results. We may also fail to capitalize on the products, designs, sectors, or investments we choose to pursue. In addition, because we are pursuing the development and commercialization of multiple verticals on our quantum platform at the same time, we may face challenges related to the appropriate focus of management resources and attention, as well as R&amp;D funding in pursuing these verticals. The failure to correctly prioritize our efforts could adversely affect our business, operating results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reduce the cost of developing our quantum computing technology and related software solutions and applications, which may prevent us from pricing our quantum offerings competitively.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business is dependent on the cost per logical qubit decreasing over the next several years as our quantum computers and software advance, which is based on achieving anticipated economies of scale related to demand for our computer systems and software, technological innovation and negotiations with third-party suppliers, research organizations and development partners. We have not yet developed partnerships or entered into long term supply agreements with each of the parties that we will need to in order to advance our current business plan. If we do not achieve economies of scale or if the anticipated cost savings do not materialize, we may be unable to achieve a lower cost per logical qubit, which would make our quantum computing technology and related software solutions and applications less competitive than those offered by our competitors and could have a material adverse effect on our business, financial condition and results of operations. Due to macroeconomic headwinds, including inflation, we have experienced and may continue to experience increased costs, including with respect to labor and products. The failure to price our offerings competitively could adversely affect our business, operating results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quantum technology industry is competitive on a global scale, and we may not be successful in establishing and maintaining confidence in our long-term business prospects among current and future partners and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in which we operate are rapidly evolving and highly competitive. As these markets continue to mature and new technologies and competitors enter such markets, we expect competition to intensify. Our current competitors include, but are not limited to:</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large, well-established tech companies that generally compete in all of our markets, including Amazon, Google, IBM, Intel and Microsoft;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quantum computing companies, such as IonQ, PsiQuantum, Infleqtion, D-Wave Computing and Rigetti Computing;</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countries such as the United States, Canada, Japan, China, Russia, Australia, the United Kingdom (“UK”) and certain countries in the European Union (“EU”), which sponsor material government-funded research in quantum computing;</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less-established public and private companies with competing technology, including companies located outside the United States and Canada;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4"/>
        <w:gridCol w:w="9895"/>
      </w:tblGrid>
      <w:tr>
        <w:trPr/>
        <w:tc>
          <w:tcPr>
            <w:tcW w:w="5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w:t>
            </w:r>
          </w:p>
        </w:tc>
        <w:tc>
          <w:tcPr>
            <w:tcW w:w="9895" w:type="dxa"/>
            <w:tcBorders/>
            <w:vAlign w:val="center"/>
          </w:tcPr>
          <w:p>
            <w:pPr>
              <w:pStyle w:val="TableContents"/>
              <w:bidi w:val="0"/>
              <w:spacing w:before="0" w:after="283"/>
              <w:jc w:val="both"/>
              <w:rPr/>
            </w:pPr>
            <w:r>
              <w:rPr/>
              <w:t>new or emerging entrants seeking to develop competing technologies.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based on various factors, including technology, price, performance, fidelity, brand recognition and reputation, customer support and differentiated capabilities, scalability and reliability. Many of our competitors have substantially greater brand recognition, customer relationships and financial, technical and other resources, including an experienced sales force and sophisticated supply chain management. They may be able to respond more effectively than us to new or changing opportunities, technologies, standards, customer requirements and buying practices or to cross-subsidize their quantum offerings from their other higher margin operations. In addition, many countries are focused on developing quantum solutions either in the private or public sector and may subsidize quantum computers and other technology, which may make it difficult for us to compete. Many of these competitors do not face the same challenges that we do in growing our business, including research, development, manufacturing, sales and marketing. Moreover, other competitors might be able to compete with us by bundling their other products in a way that does not allow us to offer a competitive solution.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photonic quantum computers and software also compete with non-photonic architectures that may have substantial support from large, well-established technology companies and developer ecosystems. If developers, independent software vendors and cloud providers prioritize such non-photonic architectures and related SDKs or other software, or if they reduce support for photonic quantum computers and software, our ability to attract developers, partners and customers could be impaired. Furthermore, the value of our quantum software is partly derived from its ability to connect with existing hardware infrastructures of our quantum computing system and other hardware providers (e.g., IBM, IonQ, QuEra). If such providers prioritize their own SDKs and reduce support for our quantum computers and software, including PennyLane, the utility of our solutions could be materially reduced. Even if our photonic quantum computers and software are adopted, entrenched standards and integrations around non-photonic technology systems may delay or prevent adoption of our photonic quantum computers and software, which could materially adversely affect our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be able to achieve our objectives in a timely manner or our quantum computing and other technology may lose ground to competitors, including competing technologies. There are a large number of market participants, including certain sovereign nations, focused on developing quantum technology, including quantum computing and networking technology. Accordingly, we must dedicate significant resources to achieving any technical objectives on the timelines established by our management team. Any failure to achieve objectives in a timely manner could adversely affect our business, operating results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of these reasons, competition may negatively impact our ability to maintain and grow consumption of our products and platform or put downward pressure on our prices and gross margins, any of which could materially harm our reputation,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quantum technology industry is in its early stages and volatile, and if it does not develop, if it develops slower than we expect, if it develops in a manner that does not require use of our quantum solutions, if it encounters negative publicity or if our solutions do not drive commercial engagement, the growth of our business will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nascent market for quantum technology is still rapidly evolving, characterized by rapidly changing technologies, competitive pricing and competitive factors, evolving government regulation and industry standards, and changing customer demands and behaviors. If the market for quantum technology in general, or a certain quantum technology sector, such as quantum computing, does not develop as expected, or develops more slowly than expected, our business, prospects, financial condition and operating results could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quantum hardware is based on a photonic modality. There are a number of other quantum hardware technologies being pursued. If the industry fails to adopt a photonic modality or adopts a competing quantum technology, this would adversely affect our business, prospects, financial condition and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growth and demand for our products is highly dependent upon the adoption of certain quantum technologies and commercially useful quantum algorithms to run on quantum computers by developers and customers, as well as on our ability to demonstrate the value of quantum solutions to our customers. Delays in future generations of our quantum computers or other technology, or technical failures at other quantum computing or other quantum technology companies could limit market acceptance of our solution. Negative publicity concerning our solution or the quantum technology industry as a whole, or a certain quantum technology sector, could limit market acceptance of our solution. We believe quantum technology will solve many large-scale problems. However, such problems may never be solvable by quantum technology or may only be solvable by systems that are more technologically mature than we currently expect. If our clients and partners do not perceive the benefits of our solutions and products, or if our solution does not drive customer engagement, then our market may not develop at all, or it may develop slower than we expect. If any of these events occur, it could have a material adverse effect on our business, financial condition and results of operations. If progress towards quantum advantage ever slows relative to expectations, it could adversely impact revenues and customer confidence to continue to pay for testing, access and “quantum readiness.” This would adversely affect revenues in the period before quantum advantage.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the market in which we compete achieves the forecasted growth, our business could fail to grow at similar rates, if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 market in which we compete meets the size estimates and growth forecasted, our business could fail to grow at similar rates, if at all, and may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we will be in a position to begin the growth needed to capture meaningful market opportunity, we must first complete development of utility scale quantum computing technology and related software solutions and applications. Once we have developed suitable commercially scalable product offerings, our growth will depend upon our ability to successfully scale up manufacturing of our products in sufficient quantity and quality, in a timely or cost-effective manner. Any future growth will also depend upon our ability to successfully market and sell quantum computing technology and related software solutions and applications. We have no experience with the distribution and sale of quantum computing technology and related software solutions and applications at scale. Any future growth and long-term success will depend upon the development of our sales and delivery capabilities.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Unforeseen issues associated with scaling up and constructing quantum computing technology and related software solutions and applications at commercially viable levels, and selling our technology, could negatively impact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because of our unique technology, our customers will require particular support and service functions, some of which are not currently available. If we experience delays in adding such support capacity or servicing our customers efficiently or experience unforeseen issues with the reliability of our technology, it could overburden our servicing and support capabilities. Similarly, if we enter into additional government contracts or expand to new geographies, we may be required to rapidly increase the availability of these services. Failure to adequately support and service our customers may inhibit our growth and ability to expand computing targets globally. There can be no assurance that our projections on which such targets are based will prove accurate or that the pace of growth will meet customer expectations. Failure to grow at rates similar to that of the quantum computing, software and networking industries may adversely affect our operating results and our ability to effectively compete in the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and future growth are dependent on the success of our strategic relationships with third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and anticipate that we will continue to depend on, various third-party suppliers, contractors, and strategic partners, some of which we have not yet developed partnerships or entered into long term supply agreements with, in order to sustain and grow our business now and in the future. Failure of any of these suppliers to continue to provide products and services to maintain, support or secure their technology platforms or our integrations, or errors or defects in their technologies, products or services, could adversely affect our relationships with our customers, damage our brand and reputation and result in delays or difficulties in our ability to provide our products and platform. Our ability to produce and scale our photonic quantum computers is dependent also upon components we must source from the electronics and semiconductor industries. Shortages or supply interruptions in any of these components will adversely impact our financial performance, technology roadmap, and effect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products and our platform depend on the ability to access and integrate with third-party cloud providers. In particular, we have developed our products and platform to integrate with certain third-party cloud providers and the third-party applications of other parties. If we choose or are required to change cloud providers, we will incur costs to port our products and platform to a new service and may experience service interruptions during a change of cloud provider. Generally, third-party cloud providers and the data we receive from the third-party cloud providers are written and controlled by the application provider. Any changes or modifications to the third-party cloud providers or the data provided could negatively impact the functionality of, or require us to make changes to, our products and platform, which would need to occur quickly to avoid interruptions in service for our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supply chain issues that could delay the introduction of certain of our products and negatively impact our business and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reliant on third-party suppliers for components necessary to develop and manufacture our quantum computing technology. We do not currently have long-term supply agreements with all of our suppliers. As our business grows, we must continue to scale and adapt our supply chain or it could potentially have an adverse impact on our business. Any of the following factors (and others) could have an adverse impact on the availability of these components necessary to our business: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8"/>
        <w:gridCol w:w="9976"/>
      </w:tblGrid>
      <w:tr>
        <w:trPr/>
        <w:tc>
          <w:tcPr>
            <w:tcW w:w="4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w:t>
            </w:r>
          </w:p>
        </w:tc>
        <w:tc>
          <w:tcPr>
            <w:tcW w:w="9976" w:type="dxa"/>
            <w:tcBorders/>
            <w:vAlign w:val="center"/>
          </w:tcPr>
          <w:p>
            <w:pPr>
              <w:pStyle w:val="TableContents"/>
              <w:bidi w:val="0"/>
              <w:spacing w:before="0" w:after="283"/>
              <w:jc w:val="both"/>
              <w:rPr/>
            </w:pPr>
            <w:r>
              <w:rPr/>
              <w:t>our inability to enter into agreements with suppliers on commercially reasonable terms, or at all;</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inability to license intellectual property from our suppliers, on commercially reasonable terms, if at all;</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inability of suppliers to mature their operations in line with our growth and to meet our evolving requirements;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 significant increase in the price of one or more components, including due to industry consolidation occurring within one or more component supplier markets or as a result of decreased production capacity at manufacturers;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jc w:val="center"/>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reductions or interruptions in supply, including disruptions on our global supply chain as a result of the global chip shortage, geopolitical tensions in and around Taiwan, Ukraine, the Middle East and other areas of the world and any indirect effects thereof;</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265"/>
        <w:gridCol w:w="9881"/>
      </w:tblGrid>
      <w:tr>
        <w:trPr/>
        <w:tc>
          <w:tcPr>
            <w:tcW w:w="5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w:t>
            </w:r>
          </w:p>
        </w:tc>
        <w:tc>
          <w:tcPr>
            <w:tcW w:w="9881" w:type="dxa"/>
            <w:tcBorders/>
            <w:vAlign w:val="center"/>
          </w:tcPr>
          <w:p>
            <w:pPr>
              <w:pStyle w:val="TableContents"/>
              <w:bidi w:val="0"/>
              <w:spacing w:before="0" w:after="283"/>
              <w:jc w:val="both"/>
              <w:rPr/>
            </w:pPr>
            <w:r>
              <w:rPr/>
              <w:t>financial problems of either manufacturers or component suppliers;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347"/>
        <w:gridCol w:w="9781"/>
      </w:tblGrid>
      <w:tr>
        <w:trPr/>
        <w:tc>
          <w:tcPr>
            <w:tcW w:w="7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w:t>
            </w:r>
          </w:p>
        </w:tc>
        <w:tc>
          <w:tcPr>
            <w:tcW w:w="9781" w:type="dxa"/>
            <w:tcBorders/>
            <w:vAlign w:val="center"/>
          </w:tcPr>
          <w:p>
            <w:pPr>
              <w:pStyle w:val="TableContents"/>
              <w:bidi w:val="0"/>
              <w:spacing w:before="0" w:after="283"/>
              <w:jc w:val="both"/>
              <w:rPr/>
            </w:pPr>
            <w:r>
              <w:rPr/>
              <w:t>intentional sabotage by a malicious actor or actors;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98"/>
        <w:gridCol w:w="9963"/>
      </w:tblGrid>
      <w:tr>
        <w:trPr/>
        <w:tc>
          <w:tcPr>
            <w:tcW w:w="4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w:t>
            </w:r>
          </w:p>
        </w:tc>
        <w:tc>
          <w:tcPr>
            <w:tcW w:w="9963" w:type="dxa"/>
            <w:tcBorders/>
            <w:vAlign w:val="center"/>
          </w:tcPr>
          <w:p>
            <w:pPr>
              <w:pStyle w:val="TableContents"/>
              <w:bidi w:val="0"/>
              <w:spacing w:before="0" w:after="283"/>
              <w:jc w:val="both"/>
              <w:rPr/>
            </w:pPr>
            <w:r>
              <w:rPr/>
              <w:t>significantly increased raw material costs and other expenses associated with our business;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273"/>
        <w:gridCol w:w="9872"/>
      </w:tblGrid>
      <w:tr>
        <w:trPr/>
        <w:tc>
          <w:tcPr>
            <w:tcW w:w="6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w:t>
            </w:r>
          </w:p>
        </w:tc>
        <w:tc>
          <w:tcPr>
            <w:tcW w:w="9872" w:type="dxa"/>
            <w:tcBorders/>
            <w:vAlign w:val="center"/>
          </w:tcPr>
          <w:p>
            <w:pPr>
              <w:pStyle w:val="TableContents"/>
              <w:bidi w:val="0"/>
              <w:spacing w:before="0" w:after="283"/>
              <w:jc w:val="both"/>
              <w:rPr/>
            </w:pPr>
            <w:r>
              <w:rPr/>
              <w:t>difficulty obtaining raw materials that meet our quality standards;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significantly increased freight charges, disruptions in shipping or reduced availability of freight transportation;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proposals to impose, imposition of, or increase in, tariffs, trade protection measures, or import and export controls by the United States or other countries and countermeasures proposed or imposed thereto;</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reduced access to raw materials due to suppliers entering into exclusivity arrangements with our competitors;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79"/>
        <w:gridCol w:w="9986"/>
      </w:tblGrid>
      <w:tr>
        <w:trPr/>
        <w:tc>
          <w:tcPr>
            <w:tcW w:w="4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w:t>
            </w:r>
          </w:p>
        </w:tc>
        <w:tc>
          <w:tcPr>
            <w:tcW w:w="9986" w:type="dxa"/>
            <w:tcBorders/>
            <w:vAlign w:val="center"/>
          </w:tcPr>
          <w:p>
            <w:pPr>
              <w:pStyle w:val="TableContents"/>
              <w:bidi w:val="0"/>
              <w:spacing w:before="0" w:after="283"/>
              <w:jc w:val="both"/>
              <w:rPr/>
            </w:pPr>
            <w:r>
              <w:rPr/>
              <w:t>significant costs and resources required to facilitate a change in one or more of our current suppliers;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other factors beyond our control or that we do not presently anticipate could also affect our suppliers’ ability to deliver components to us on a timely basis;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 failure to develop our supply chain management capabilities and recruit and retain qualified professionals;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4"/>
        <w:gridCol w:w="9968"/>
      </w:tblGrid>
      <w:tr>
        <w:trPr/>
        <w:tc>
          <w:tcPr>
            <w:tcW w:w="4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w:t>
            </w:r>
          </w:p>
        </w:tc>
        <w:tc>
          <w:tcPr>
            <w:tcW w:w="9968" w:type="dxa"/>
            <w:tcBorders/>
            <w:vAlign w:val="center"/>
          </w:tcPr>
          <w:p>
            <w:pPr>
              <w:pStyle w:val="TableContents"/>
              <w:bidi w:val="0"/>
              <w:spacing w:before="0" w:after="283"/>
              <w:jc w:val="both"/>
              <w:rPr/>
            </w:pPr>
            <w:r>
              <w:rPr/>
              <w:t>a failure to adequately authorize procurement of inventory by our contract manufacturers; 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9"/>
        <w:gridCol w:w="9987"/>
      </w:tblGrid>
      <w:tr>
        <w:trPr/>
        <w:tc>
          <w:tcPr>
            <w:tcW w:w="3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w:t>
            </w:r>
          </w:p>
        </w:tc>
        <w:tc>
          <w:tcPr>
            <w:tcW w:w="9987" w:type="dxa"/>
            <w:tcBorders/>
            <w:vAlign w:val="center"/>
          </w:tcPr>
          <w:p>
            <w:pPr>
              <w:pStyle w:val="TableContents"/>
              <w:bidi w:val="0"/>
              <w:spacing w:before="0" w:after="283"/>
              <w:jc w:val="both"/>
              <w:rPr/>
            </w:pPr>
            <w:r>
              <w:rPr/>
              <w:t>a failure to appropriately cancel, reschedule, or adjust our requirements based on our business needs.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aforementioned factors were to materialize, it could cause us to delay or halt production of some or all of our quantum solutions and/or entail higher manufacturing costs, any of which could materially adversely affect our business, operating results, and financial condition and could materially damage customer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accurately estimate the future supply and demand for our products, including our quantum computing technology and related software solutions and applications, which could result in a variety of inefficiencies in our business and hinder our ability to generate revenue. If we fail to accurately predict our manufacturing requirements, we could incur additional costs or experience delays.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difficult to predict our future revenues and appropriately and accurately budget for our expenses, and we may have limited insight into trends that may emerge and affect our business. We anticipate being required to provide forecasts of our demand to our current and future suppliers prior to the scheduled delivery of products to potential customers. Currently, there is no historical basis for making judgments on the demand for our quantum computing and certain of our other products or our ability to develop, manufacture, and deliver quantum computers and other products, or our profitability, if any, in the future. If we overestimate our requirements, our suppliers may have excess inventory, which indirectly would increase our costs and reduce potential profitability. If we underestimate our requirements, our suppliers may have inadequate inventory, which could interrupt the manufacturing of our products and result in delays in shipments and revenues. In addition, the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development, manufacturing and delivery of quantum computers and other products to our potential customers could be delayed, which would harm our business, financial condition and operating results and could materially damage relationships with our strategic partners and future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highly dependent on our key employees who have specialized knowledge, and our ability to attract and retain and motivate senior management and other key employees is critical to our success.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is highly dependent on our ability to attract, retain and motivate our executive officers, key employees and other qualified personnel, including our employees who have specialized knowledge. Our future success is also dependent upon our ability to attract, retain and motivate qualified senior and middle managers on our management team.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in the past, and as we build our brand and become more well known, there is increased risk that we may experience again in the future, competitors or other companies hiring our personnel. The loss of the services provided by these individuals could adversely impact the achievement of our business strategy. These individuals could leave our employment at any time. A loss of one or more of our key employees, particularly to a competitor, could also place us at a competitive disadvantage. Effective succession planning is important to our long-term success, and failure to ensure effective transfer of knowledge and smooth transitions involving key employees could hinder our strategic planning and execution.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also depends on our continuing ability to attract, develop, motivate and retain highly qualified and skilled employees. The market for highly skilled workers and leaders in the quantum technology industry is extremely competitive. In particular, hiring qualified personnel specializing in quantum physics, engineering, software development and sales, as well as other technical staff and R&amp;D personnel, is critical to our business and the development of our solutions. Some of these professionals are hard to find and we may encounter significant competition in our efforts to hire them. Many of the other companies with which we compete for qualified personnel have greater financial and other resources than we do. The effective operation of our supply chain, including the acquisition of critical components and materials, the development of our quantum solutions, the commercialization of our quantum solutions and the effective operation of our managerial and operating systems all depend upon our ability to attract, train and retain qualified personnel in the aforementioned specialties. Additionally, changes in immigration and work permit laws and regulations or the administration or interpretation of such laws or regulations could impair our ability to attract and retain highly qualified employees. If we cannot attract, train and retain qualified personnel in this competitive environment, we may experience delays in the development of our quantum solutions and be otherwise unable to develop and grow our business as planned,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funding and financial contributions from contracts with the public sector, including the Canadian government and U.S. government.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derived a portion of our revenue and financial contributions from the Canadian federal, Canadian provincial, U.S. federal and other governments and government agencies. We believe that the success and growth of our business for the foreseeable future will depend, in part, on our ability to win government contracts, grants and loans, and to attract repayable or non-repayable contributions from various government agencies.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government customers and many government funding programs are subject to budgetary constraints and our continued performance under these contracts, or award of additional contracts from these agencies, could be jeopardized by spending reductions or budget cutbacks at these agencies. For example, the reduction of government spending has been a primary focus of the U.S. federal government. In January 2025, President Trump announced an executive order establishing the Department of Government Efficiency (“DOGE”) to maximize government efficiency and productivity. In February 2025, President Trump stated that he has directed DOGE to review Pentagon spending for potential waste and fraud. In addition, the U.S. government entered into a shutdown on October 1, 2025 that ended on November 12, 2025. Another similar extended government shutdown could impact our sales to the U.S. government through funding restrictions or delays. As a result of these recent developments and other factors, the long-term funding of U.S. government programs is uncertain. We are dependent on continued congressional appropriations and administrative allotment of funds based on an annual budgeting process. We cannot assure you that current levels of government funding for our products and services will continue and that our business will not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decline in government expenditures generally, or with respect to programs for which we provide products and/or services, could adversely affect our business and prospects. Our operating results may also be negatively impacted by other developments that affect these government programs generally, including the following: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changes in government programs that are related to our products and services or the funding R&amp;D or related commercialization supports;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changes in the availability of, or ability to qualify for, R&amp;D tax credits, such as through the Government of Canada’s Scientific Research and Experimental Development (“SR&amp;ED”) program;</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adoption of new laws or regulations relating to government contracting or changes to existing laws or regulations;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47"/>
        <w:gridCol w:w="9904"/>
      </w:tblGrid>
      <w:tr>
        <w:trPr/>
        <w:tc>
          <w:tcPr>
            <w:tcW w:w="5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both"/>
              <w:rPr/>
            </w:pPr>
            <w:r>
              <w:rPr/>
              <w:t>changes in political or public support for security and defense programs;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260"/>
        <w:gridCol w:w="9887"/>
      </w:tblGrid>
      <w:tr>
        <w:trPr/>
        <w:tc>
          <w:tcPr>
            <w:tcW w:w="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887" w:type="dxa"/>
            <w:tcBorders/>
            <w:vAlign w:val="center"/>
          </w:tcPr>
          <w:p>
            <w:pPr>
              <w:pStyle w:val="TableContents"/>
              <w:bidi w:val="0"/>
              <w:spacing w:before="0" w:after="283"/>
              <w:jc w:val="both"/>
              <w:rPr/>
            </w:pPr>
            <w:r>
              <w:rPr/>
              <w:t>public sentiment regarding economic nationalism and protectionism;</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47"/>
        <w:gridCol w:w="9904"/>
      </w:tblGrid>
      <w:tr>
        <w:trPr/>
        <w:tc>
          <w:tcPr>
            <w:tcW w:w="5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both"/>
              <w:rPr/>
            </w:pPr>
            <w:r>
              <w:rPr/>
              <w:t>delays or changes in the government appropriations and budget process;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79"/>
        <w:gridCol w:w="9986"/>
      </w:tblGrid>
      <w:tr>
        <w:trPr/>
        <w:tc>
          <w:tcPr>
            <w:tcW w:w="4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w:t>
            </w:r>
          </w:p>
        </w:tc>
        <w:tc>
          <w:tcPr>
            <w:tcW w:w="9986" w:type="dxa"/>
            <w:tcBorders/>
            <w:vAlign w:val="center"/>
          </w:tcPr>
          <w:p>
            <w:pPr>
              <w:pStyle w:val="TableContents"/>
              <w:bidi w:val="0"/>
              <w:spacing w:before="0" w:after="283"/>
              <w:jc w:val="both"/>
              <w:rPr/>
            </w:pPr>
            <w:r>
              <w:rPr/>
              <w:t>ability to comply with existing and new or modified laws and regulations applicable to our business;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6"/>
        <w:gridCol w:w="9990"/>
      </w:tblGrid>
      <w:tr>
        <w:trPr/>
        <w:tc>
          <w:tcPr>
            <w:tcW w:w="3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pPr>
            <w:r>
              <w:rPr/>
              <w:t>uncertainties associated with the current global threat environment and other geo-political matters;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2"/>
        <w:gridCol w:w="9897"/>
      </w:tblGrid>
      <w:tr>
        <w:trPr/>
        <w:tc>
          <w:tcPr>
            <w:tcW w:w="5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w:t>
            </w:r>
          </w:p>
        </w:tc>
        <w:tc>
          <w:tcPr>
            <w:tcW w:w="9897" w:type="dxa"/>
            <w:tcBorders/>
            <w:vAlign w:val="center"/>
          </w:tcPr>
          <w:p>
            <w:pPr>
              <w:pStyle w:val="TableContents"/>
              <w:bidi w:val="0"/>
              <w:spacing w:before="0" w:after="283"/>
              <w:jc w:val="both"/>
              <w:rPr/>
            </w:pPr>
            <w:r>
              <w:rPr/>
              <w:t>delays in the payment of our invoices by government payment offices.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developments and other factors could cause governmental agencies to reduce their purchases under existing contracts, to exercise their rights to terminate contracts at-will or to abstain from renewing contracts or entering into new contracts, any of which would cause our revenue to decline and could otherwise harm our business, financial condition and results of operations. Similarly, these developments and other factors could lead to a reduction in available funding under repayable or non-repayable contributions agreements or tax credits under public sector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of our directors reside outside of Canada or outside of the United States; therefore, investors may not be able to enforce their legal rights or applicable securities or other laws against such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directors reside outside of Canada or outside of the United States. As a result, it may be difficult, or in some cases not possible, for investors to enforce their legal rights or to enforce judgments of courts of jurisdiction predicated upon civil liabilities under securities laws and/or criminal penalties against any person that resides or is otherwise organized outside of such jurisdiction even if the party has appointed an agent for service of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material weaknesses in our internal control over financial reporting. If our remediation of such material weaknesses is not effective, or if we identify additional material weaknesses in the future or otherwise fail to develop and maintain effective internal control over financial reporting, our ability to produce timely and accurate financial statements or comply with applicable laws and regulations could be impaired.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required to evaluate and determine the effectiveness of internal control over financial reporting. Neither we nor our independent registered public accounting firm were required to, and therefore did not, perform an evaluation of the effectiveness of our internal control over financial reporting as of or for any period included in our financial statements included herein, nor any period subsequent in accordance with the provisions of the Sarbanes-Oxley Act or National Instrument 52-109 — Certifications of Disclosure in Issuers’ Annual and Interim Filings (“NI 52-109”). However, in connection with the preparation of our financial statements,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weaknesses identified pertained to:</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Lack of formalized policies, procedures, and controls: We lacked adequate documentation across key processes (including, but not limited to, financial close and reporting, revenue, procure to pay, order to cash, share-based compensation, and Information Technology General Controls). In certain instances, incompatible duties were performed by the same individuals without sufficient mitigating controls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jc w:val="center"/>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Insufficient qualified finance personnel: We lacked sufficient qualified personnel within the finance and reporting function possessing the appropriate level of knowledge, experience, and training in SEC reporting requirements and the ability to meet required reporting requirements under SEC rules and regulations. This limitation adversely affected our ability to maintain effective internal controls.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implementing measures designed to improve our internal control over financial reporting to remediate these material weaknesses, including the following: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Implement a comprehensive internal control program by performing a top-down risk assessment, defining and documenting key controls across processes and systems, formalizing core policies and procedures and establishing governance including issue tracking and remediation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Strengthening our finance team by recruiting and onboarding additional qualified accounting and financial reporting personnel with SEC reporting experience and providing training around key concepts to enhance organizational awareness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additional resources and policies and procedures are designed to enable us to broaden the scope and quality of our internal review of underlying information related to financial reporting and to formalize and enhance our internal control procedures. With the oversight of senior management, we have begun taking steps and plan to take additional measures to address the underlying causes of the material weaknesses.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Remediation will require validation of control design and a period of sustained operating effectiveness before management can conclude the material weakness has been remediated. We will not be able to conclude that our internal controls over financial reporting is effective until remediation is completed and tested. We can give no assurance that our efforts will remediate these material weaknesses in our internal control over financial reporting, or that additional material weaknesses will not be identified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assurances that the actions we have taken to remediate these material weaknesses will be effective now or in the future. These material weaknesses will not be considered remediated until management completes the design and implementation of the measures described above and the controls operate for a sufficient period of time and management has concluded, through testing, that these controls are effective. This remediation process, including testing the effectiveness of the remediation efforts is expected to continue through 2026. Additionally, there can be no assurance that we have identified all, or that we will not in the future identify additional material weaknesses. Material weaknesses may still exist when we report on the effectiveness of our internal control over financial reporting as required under Section 404 of the Sarbanes-Oxley Act and NI 52-109.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process of designing and implementing internal control over financial reporting required to comply with the disclosure and attestation requirements of Section 404 of the Sarbanes-Oxley Act and NI 52-109 will be time-consuming and costly. If during the evaluation and testing process we identify additional material weaknesses in our internal control over financial reporting or determine that existing material weaknesses have not been remediated, our management will be unable to assert that our internal control over financial reporting is effective. If we are unable to assert that our internal control over financial reporting is effective, or when required in the future, if our auditors are unable to express an unqualified opinion as to the effectiveness of our internal control over financial reporting, investors may lose confidence in the accuracy and completeness of our financial reports, the market price of our Class B Subordinate Voting Shares could be adversely affected and we could become subject to litigation or investigations by governmental agencies and securities, accounting and other regulatory authorities, which could require additional financial and management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growth and success depends in part on our ability to sell effectively to government entities and large enterprises.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and potential customers include domestic and international government agencies and large enterprises. Therefore, our future success will depend on our ability to effectively sell our products and services to such customers and strategic partners. Sales to these end-customers involve risks that may not be present (or that are present to a lesser extent) with sales to non-governmental agencies or smaller customers. These risks include, but are not limited to, (i) increased purchasing power and leverage held by such customers in negotiating contractual arrangements with us and (ii) longer sales or service cycles and the associated risk that substantial time and resources may be spent on a potential end-customer that elects not to purchase our solutions. Sales to government agencies can be priced as fixed fee development contracts, which involve additional risks. Cost-plus and time-and-materials contracts can adversely affect our results of operations and financial condition if our costs do not qualify as allowable costs under applicable regulations of government policy. In addition, government contracts generally include the ability of government agencies to terminate for convenience which, if exercised, would result in a lower contract value and lower than anticipated revenues generated by such arrangement and, in the case of defense contracts, may allow the government to adjust prices if costs are determined to be in excess of what is fair and reasonable. Additionally, such government contracts may limit our ability to do business with foreign governments or prevent us from selling our products in certain countries.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agencies and large organizations often undertake a significant evaluation process that results in a lengthy sales cycle. Our contracts with government agencies are typically structured in phases, with each phase subject to satisfaction of certain conditions. As a result, the actual scope of work performed pursuant to any such contracts, in addition to related contract revenue, could be less than total contract value. In addition, purchases by such organizations are frequently subject to budget constraints, multiple approvals and unanticipated administrative, processing and other delays. Finally, these organizations typically have longer implementation cycles, require greater product functionality and scalability, require a broader range of services, demand that vendors take on a larger share of risks, require acceptance provisions that can lead to a delay in revenue recognition and expect greater payment flexibility. All of these factors can add further risk to business conducted with these potential customers and could lead to lower revenue results than originally anticipated.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reductions in government spending in any jurisdiction in which we do or seek to do business could have adverse consequences on our financial position, results of operations and business. For example, we have anticipated future revenues from the U.S. government resulting from contracts awarded under various U.S. government programs. Cost cutting, including through consolidation and elimination of duplicative organizations, has become a major initiative for certain departments within the U.S. government. The Government of Canada has also indicated that it intends to constrain its spending. The funding of our programs may be subject to the overall U.S. and Canadian government budget and appropriation decisions and processes, which are driven by numerous factors, including geo-political events and macroeconomic conditions. Similar factors may be relevant to our anticipated future revenues other governments. In addition, changes in government priorities and requirements could impact the funding, or the timing of funding, of our programs, which could negatively impact our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use certain open source technology in our business, which could expose us to information security vulnerabilities, result in failures, errors and defects, or subject us to possible litigation or to certain unfavorable conditions, including requirements that we offer our products that incorporate the open source software for no cost or that we make publicly available our confidential, proprietary source code and any other intellectual property that we developed using or derived from such open source software.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open-source software in connection with certain of our technologies. Use and distribution of open-source software may entail greater risks than use of third-party commercial software, as open source licensors generally do not provide support, warranties, indemnification, or other contractual protections regarding infringement claims or the quality of the code. Accordingly, we cannot assure that the authors of such open-source software will implement or push updates to address security risks or will not abandon further development and maintenance. In addition, the public availability of such software may make it easier for others to compromise our technology. Many of the risks associated with the use of open-source software cannot be eliminated, and could, if not properly addressed, negatively affect our business, our intellectual property and the security of our systems, products and services. To the extent that our systems depend upon the successful operation of the open-source software it uses, any undetected errors or defects in such open-source software could prevent the deployment or impair the functionality of our systems or applications, delay the introduction of new solutions, result in a failure of our systems, products or services, and injure our reputation. For example, undetected errors or defects in open-source software could render it vulnerable to breaches or security attacks and make our systems more vulnerable to data breaches.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information technology systems, those of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we and the third parties with whom we work, collect, receive, store, process, generate, use, transfer, disclose, make accessible, protect, secure, dispose of, transmit and share (collectively, “process”) proprietary, confidential and sensitive data, including confidential business data, trade secrets, sensitive third-party data, personal data, controlled unclassified information, business plans, transactions and financial information of our own, our partners, our vendors and their own supply chains, our customers or other third parties (collectively, “sensitive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Cyber-attacks, malicious internet-based activity, online and offline fraud and other similar activities threaten the confidentiality, integrity and availability of any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actors now engage and are expected to continue to engage in cyber-attacks, including without limitation nation-state and nation-state-supported actors for geopolitical reasons and in conjunction with military conflicts and defense activities. During times of war and other geopolitical tensions or conflicts, we, the third parties with whom we work and our customers may be vulnerable to a heightened risk of these attacks, including retaliatory cyber-attacks, that could materially disrupt our systems and operations, supply chain and ability to distribute our products and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our employees and, to our knowledge, the third parties with whom we work, may be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artificial intelligence (“AI”) and other similar threats.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severe ransomware attacks are becoming increasingly prevalent — particularly for companies like ours that are engaged in product and service delivery — and can lead to significant interruptions in our operations, ability to provide our products or services, loss of sensitive data and income, reputational harm, diversion of funds and other adverse consequences. Extortion payments may alleviate the negative impact of a ransomware attack, but we may be unwilling or unable to make such payments due to, for example, applicable laws or regulations prohibiting such payments.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may be difficult and/or costly to detect and, where appropriate,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Remote work has increased risks to our information technology systems and data, as more of our personnel utilize network connections, computers and devices outside our premises or network, including working at home, while in transit and in public locations. Additionally, future business transactions (such as acquisitions or integrations) could expose us to additional cybersecurity risks and vulnerabilities, as our systems could be negatively affected by vulnerabilities present in acquired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third parties could introduce new cybersecurity risks and vulnerabilities, including supply-chain attacks, and other threats to our business operations. Our quantum software platform is built to be accessed through third-party cloud providers, and we rely on these and other third-party service providers and technologies to operate critical business systems to process sensitive information in a variety of contexts, including, without limitation, other cloud-based infrastructure, data center facilities, encryption and authentication technology, personnel email and instant messaging, password management, asset management, HRIS, corporate expenses content delivery to customers, and other functions. We also rely on third-party service providers to provide other products, services or parts, or otherwise to operate our business. Our ability to monitor these third parties’ information security practices is limited, and these third parties’ may not be effective in protecting against all cybersecurity risks and vulnerabilities.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with whom we work). We have not and may not in the future, however, detect and remediate all such vulnerabilities on a timely basis. Further, we have and may in the future experience delays in developing and deploying remedial measures and patches designed to address identified vulnerabilities. Vulnerabilities could be exploited and result in a security incident.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previously identified or similar threats have in the past and may in the future cause a security incident or other interruption that could result in unauthorized, unlawful, or accidental access to, or acquisition, modification, destruction, loss, alteration, encryption, disclosure or other processing of our sensitive information or our information technology systems, or those of third parties with whom we work. For example, we have been the target of phishing attacks in the past and expect such attempts will continue in the future. A security incident or other interruption could disrupt our ability (and that of third parties with whom we work) to provide our products and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contractor that provides support to a number of U.S. federal agencies, such as the Department of Defense, we are required to comply with a variety of contract clauses related to the safeguarding of sensitive Controlled Unclassified Information (“CUI”) on our information systems as specified in NIST 800.171. Responsibilities include providing adequate security on information systems, completing and reporting system compliance assessments, reporting security breaches, and prohibiting the acquisition and use of covered defense telecommunications equipment or services. Contracts issued by the Government of Canada commonly address how private-sector suppliers must safeguard and handle Protected and Classified information, assets, and work sites and such related requirements typically address facility security clearances, information system security, personnel security screening, subcontractor screening and flow-downs, incident management and reporting, and use and disclosure limits. To the extent we are unable to comply with these or similar requirements, we will be unable to bid on applicable contract awards or on follow-on awards for existing work, or be ineligible to receive option awards under existing contracts with such requirements. This could adversely impact our revenue and profitability. In addition, our subcontractors, and in some cases our vendors, may also be required to adhere to the NIST 800.171 or other flow-down requirements. Should our supply chain fail to meet compliance requirements, this may adversely affect our ability to receive awards or execute on relevant government programs or contracts.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a contractor supporting defense and national security customers, we are subject to certain additional contractual and regulatory compliance requirements relating to data privacy and cybersecurity. We are also subject to the U.S. Department of Defense Cybersecurity Maturity Model Certification (“CMMC”) requirements, which will require all contractors to receive specific certifications relating to specified cybersecurity standards in order to be eligible for contract awards. In addition, CMMC certification requirements may be required in modifications to existing contracts. To the extent we are unable to achieve certification in advance of applicable contract awards that specify the requirement, we will be unable to bid on such contract awards or on follow-on awards for existing work with the Department of Defense, depending on the level of standard as required for each solicitation, or be ineligible to receive option awards under existing contracts that specify the certification requirement, which could adversely impact our revenue and profitability. To the extent we are unable to comply with our contractual and regulatory compliance requirements related to data privacy or cybersecurity (including in our government contracts), we could face adverse consequences such as loss of customers and claims. In addition, our subcontractors, and in some cases our vendors, may also be required to adhere to the CMMC program requirements and potentially to achieve certification. Should our supply chain fail to meet compliance requirements or achieve certification, this may adversely affect our ability to receive awards or execute on relevant government programs. In addition, any obligations that may be imposed on us under the CMMC may be different from or in addition to those otherwise required by applicable laws and regulations, which may cause additional expense for compliance.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expend and may in the future expend significant resources to try to protect against security incidents. Further, we have in the past and may in the future modify our business activities to try to protect against security incidents. Additionally, certain privacy and security obligations (including contracts with customers) require us to implement and maintain specific security measures or industry-standard or reasonable security measures to protect the relevant information technology systems and sensitive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are costly, and the disclosure or the failure to comply with such requirements could lead to adverse consequences.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a third party with whom we work) experience a security incident or are perceived to have experienced a security incident, we may experience adverse consequences, such as: notification obligations;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material consequences may prevent or cause customers to stop using our products or services, deter new customers from using our products or services, and negatively impact our ability to grow and operate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experiencing a security incident, third parties may gather, collect or infer sensitive information about us from public sources, data brokers or other means that reveal competitively sensitive details about our organization and could be used to undermine our competitive advantage or market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use of AI may result in reputational harm, legal liability, competitive risks, and regulatory concerns that could adversely affect our business, operating results,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and expect to continue to make, significant investments to integrate AI, including generative AI, and machine learning technology, into our business. Many AI technologies are relatively new and present ethical, legal, regulatory, and reputational challenges. The use of datasets to develop AI models, the content generated by AI systems, or the application of AI systems may be found to be insufficient, offensive, biased, or harmful, or may violate current or future laws and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generally rely on third-party models for the AI features in software used in our business. Our ability to continue to use such technologies at scale may be dependent on access to specific third-party software and infrastructure. We cannot control the availability or pricing of such third-party AI technologies, especially in a highly competitive environment, and we may be unable to negotiate favorable economic terms with the applicable providers. If any such third-party AI technologies become unavailable for use, or if the providers of such models unfavorably change the terms on which their AI technologies are offered or terminate their relationship with us, our business, operating results, and financial condition could be adversely impacted.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business, as well as our reputation and the reputations of our customers, could suffer, and we could incur liability resulting from the violation of laws, breach of contract claims, or civil claims. In addition, the use of AI applications by our employees, personnel, or vendors may result in data leakage or unauthorized exposure of data, including, but not limited to, confidential business information, the personal data of end users, or other sensitive information relating to us or our customers. Such leakage or unauthorized exposure of data related to the use of AI applications could result in legal claims or liability or otherwise adversely affect our reputation and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AI tools in our business, including generative AI, and we expect to use AI tools in the future, including to generate code and other materials incorporated into our quantum computing technology and related software and applications, marketing materials, reports, proprietary software, and systems, and for other internal and external uses, and we are making investments to expand our AI capabilities. Advanced generative AI tools, which may produce content indistinguishable from that generated by humans, are a relatively novel development, with benefits, risks, and liabilities still unknown. Recent decisions of Governmental Entities and courts (such as the U.S. Copyright Office, U.S. Patent and Trademark Office, and U.S. Court of Appeals for the Federal Circuit) interpret U.S. copyright and patent law as limited to protecting works and inventions created by human authors and inventors, respectively. We are therefore unlikely to be able to obtain U.S. copyright or patent protection for works or inventions wholly created by a generative AI tool, and our ability to obtain U.S. copyright and patent protection for source code, text, inventions, or other materials, which are developed with some use of generative AI tools, may be limited, if available at all. Likewise, the availability of such IP protections in other countries is unclear. In addition, we may have little or no insight into and no control over the content and materials used by vendors to train these generative AI tools, or that otherwise use or incorporate these AI tools into their own offerings. There is ongoing litigation over whether the use of copyrighted materials to train the AI models used in these tools is lawful, and the impact of decisions in such litigation on our use of generative AI tools is unknown. Furthermore, our vendors who use AI tools, whether generative or agentic in nature, in their own offerings may not meet existing or rapidly evolving regulatory or industry standards, including with respect to the rights of others, privacy and data security. Additionally, our use of third-party generative AI tools to develop source code, text, inventions, or other materials may expose us to greater risks than utilizing contracted human developers, as third-party vendors of generative AI tools may not provide sufficient warranties or indemnities with respect to the output generated by such generative AI tools, and generative AI tools may also hallucinate, providing output that appears correct but is erroneous. Furthermore, some generative AI tools may be offered under terms that do not protect the confidentiality of the prompts or inputs that users submit to such tools and may use prompts or inputs to train shared AI models, potentially resulting in third-party users receiving outputs containing information from prompts or inputs (including confidential, competitive, proprietary, or personal data) that we submitted to the tool. The disclosure and use of personal data in AI technologies is also subject to various privacy laws and other privacy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working to develop and implement policies surrounding our use of third party generative and agentic AI tools, any such policies may be insufficient to evaluate and mitigate potential legal, security, and business risks. Our practices may not be error free, and our use of such tools may inadvertently violate a third party’s rights, be non-compliant with the applicable terms of use or our other legal obligations, or result in a security or privacy risk or data leakage. Our use of AI technology could result in additional compliance costs, regulatory investigations and actions, and lawsuits. For example, we may face new or enhanced governmental scrutiny, or claims from third parties claiming infringement of their intellectual property rights or mandatory compliance with open-source software or other license terms with respect to software or other materials or content we believed to be available for use and not subject to license terms or other third-party proprietary rights. Any of these claims could result in legal investigations or proceedings. Furthermore, if we are found to be in violation of third party rights based on our use of AI tools, we could be required to purchase costly licenses, comply with the requirements of third-party licenses, or limit or cease using the implicated software or other materials or content, unless and until we can re-engineer such software, materials, or content to avoid infringement or change the use of, or remove, the implicated third-party materials, which could reduce or eliminate the value of our technologies and services. Our use of generative AI tools to generate code may also present additional security risks because the generated source code may contain security vulnerabilities. Additionally, vendors of generative AI tools may fail to comply with their contractual obligations to us regarding the confidentiality or security of any data or other inputs provided to such vendor or outputs generated by their generative AI tools.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use of AI could result in additional compliance costs, regulatory investigations and actions, and lawsuits. The regulatory environment for AI technologies is rapidly evolving, as several jurisdictions around the globe, including in Europe, certain states in the United States, and in Canada where federal, provincial and foreign government bodies and agencies have proposed, enacted, or are considering laws governing the development and use of AI. Legislation related to AI technologies has been introduced or passed at various governmental levels in Canada, the United States and Europe. For example, in the United States, several states are applying their data and consumer protection laws to AI, have enacted, or are enacting or considering legal frameworks on AI, such as the Utah Artificial Intelligence Policy Act, the Colorado Artificial Intelligence Act and the California Consumer Privacy Act of 2018 (“CCPA”) regulations on automated decision-making technology and in Europe, the European Union Artificial Intelligence Act (the “EU AI Act”) regulates the development and deployment of AI systems. In parallel, industry standards regarding AI are also developing quickly and may be difficult to interpret or implement consistently across jurisdictions. Additionally, existing laws and regulations may be interpreted in ways that could affect our use of AI technologies, or could be rescinded or amended as new administrations take differing approaches to evolving AI technologies. As a result, implementation standards and enforcement practices are likely to remain uncertain for the foreseeable future, and we cannot yet completely determine the impact future laws, regulations, standards, or market perception of their requirements may have on our business and may not always be able to anticipate how to respond to these laws or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Already, certain existing legal regimes, for example, relating to data privacy, regulate certain aspects of AI technologies, and new laws regulating AI technologies have entered into force in the United States and Canada or are expected to enter into force in the near future. Such additional regulations may impact our ability to develop, use, and commercialize AI technologies. It is possible that further new laws and regulations will be adopted in the United States, Europe, Canada and other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offerings and the way in which we use AI technologies. We may need to expend resources to adjust the manner in which we conduct business in certain jurisdictions if these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operating results,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any changes to the above discussed existing legal regimes with respect to data privacy and AI technologies could require us to expend significant resources to modify our quantum computing technology and related software and applications, development plans, services, or operations to ensure compliance or remain competitive.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Unfavorable conditions in our industry or the global economy, including as a result of certain catastrophic events, may disrupt our business, could limit our ability to grow and could negatively affect our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may vary based on the impact of changes in our industry or the global economy on us or our customers and potential customers. Negative conditions in the general economy in Canada, the United States and abroad, including conditions resulting from changes in gross domestic product growth, inflation, financial and credit market fluctuations, international trade relations and tariffs, pandemics, natural catastrophes, warfare and terrorist attacks, could cause a decrease in business investments, including the progress on development of quantum technologies, and negatively affect the future growth of our business. Geopolitical tensions in and around Taiwan, Ukraine, the Middle East and other areas of the world have created extreme volatility in the global capital markets and are expected to have further global economic consequences, including disruptions of the global supply chain and energy markets, and further acts of war, terror, or responses to each could result in similar or increased impacts on the global economy. Increased inflation rates can adversely affect us by increasing our costs, including labor and employee benefit costs. Employee salaries and benefits expenses have increased as a result of economic growth, increased demand for business services and increased competition for trained and talented employees, among other wage-inflationary pressures, and we cannot assure you that they will not continue to rise. In addition, higher inflation also could increase our customers’ operating costs, which could result in reduced budgets for our customers and potentially less demand for our platform and the development of quantum technologies. Any significant increases in inflation and related increase in interest rates could have a material adverse effect on our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challenging economic times, our current or potential future customers may experience cash flow problems and as a result may modify, delay or cancel plans to purchase our products and services. Additionally, if our customers are not successful in generating sufficient revenue or are unable to secure financing, they may not be able to pay, or may delay payment of, accounts receivable due to us. Moreover, our key suppliers, some of which we have not yet developed partnerships or entered into long term supply agreements with, may reduce their output or become insolvent, thereby adversely impacting our ability to carry out our research activities and eventually manufacture our products. Furthermore, uncertain economic conditions may make it more difficult for us to raise funds through borrowings or private or public sales of debt or equity securities. We cannot predict the timing, location, strength or duration of any economic slowdown, instability or recovery, generally or within any particular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 actions and regulations, such as tariffs and trade protection measures, may adversely impact our business, including our ability to obtain products from our suppliers.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challenges between the United States and countries in which we operate or countries in our supply chain and changes to trade policies, including tariff rates and customs duties, trade relations between the United States and other countries, including Canada, and other macroeconomic issues could adversely impact our business. The United States administration has imposed and proposed to impose additional tariffs, duties and other trade protection measures on certain products imported into the United States, and certain countries, including Canada, have imposed or proposed to impose tariffs in response to the actions of the United States. The likelihood of an increase in existing, or the imposition of new, tariffs, duties and other trade restrictions on goods sourced from other countries has materially increased in light of comments by the current U.S. presidential administration, which has repeatedly communicated an intention to impose additional duties on imports from other countries. The U.S. government continues to add additional entities to restricted party lists impacting the ability of U.S. companies to provide products and technology, and, in certain cases, services, to these entities and, in some cases, to receive products, technology or services from these entities. The U.S. government also continues to increase end-use restrictions on the provision of products, technology and services to other countries including end-uses related to advanced computing. The current U.S. presidential administration has signaled its intention to use U.S. trade policy, including tariffs and other trade restrictions, as an important foreign policy tool presenting uncertainty regarding the impact of future trade policies on our business. There is also a possibility of future tariffs, trade protection measures or other restrictions imposed on our products or on our customers by the United States or other countries that could have a material adverse effect on our business and supply chains. Additionally, changes in trade policy may adversely affect the macroeconomic environment in certain of the jurisdiction in which we do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relatively fluid regulatory environment and uncertainty regarding how the U.S. government or other foreign governments will act with respect to tariffs and international trade agreements and policies, a trade war, further governmental action related to tariffs or international trade policies, or additional tax or other regulatory changes in the future could directly and adversely impact our financial results and results of operations. We cannot predict what actions may ultimately be taken with respect to trade relations between the United States and other countries, what products may be subject to such actions or what actions may be taken by the other countries in retaliation. If we are unable to obtain or use components for inclusion in our products, if component prices increase significantly or if we are unable to export or sell our products to any of our customers, our business, liquidity, financial condition and/or results of operations would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Acquisitions, divestitures, strategic investments and strategic partnerships could disrupt our business and harm our financial condition and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currently focused on our core development activities, we may pursue growth opportunities by acquiring complementary businesses, solutions or technologies through strategic transactions, investments or partnerships. Acquisitions and investments involve a number of risks, such as: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6"/>
        <w:gridCol w:w="9954"/>
      </w:tblGrid>
      <w:tr>
        <w:trPr/>
        <w:tc>
          <w:tcPr>
            <w:tcW w:w="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w:t>
            </w:r>
          </w:p>
        </w:tc>
        <w:tc>
          <w:tcPr>
            <w:tcW w:w="9954" w:type="dxa"/>
            <w:tcBorders/>
            <w:vAlign w:val="center"/>
          </w:tcPr>
          <w:p>
            <w:pPr>
              <w:pStyle w:val="TableContents"/>
              <w:bidi w:val="0"/>
              <w:spacing w:before="0" w:after="283"/>
              <w:jc w:val="both"/>
              <w:rPr/>
            </w:pPr>
            <w:r>
              <w:rPr/>
              <w:t>use of resources and management efforts that are needed in other areas of our business;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 the case of an acquisition, implementation or remediation of controls, procedures and policies of the acquired company;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 the case of an acquisition, difficulty integrating the accounting systems and operations of the acquired company, including potential risks to our corporate culture;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 the case of an acquisition, coordination of product, engineering and selling and marketing functions, including difficulties and additional expenses associated with supporting legacy services and products and hosting infrastructure of the acquired company, as applicable, difficulties associated with supporting new products or services, difficulty converting the customers of the acquired company onto our platform and difficulties associated with contract terms, including disparities in the revenues, licensing, support or professional services model of the acquired company;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6"/>
        <w:gridCol w:w="9978"/>
      </w:tblGrid>
      <w:tr>
        <w:trPr/>
        <w:tc>
          <w:tcPr>
            <w:tcW w:w="4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w:t>
            </w:r>
          </w:p>
        </w:tc>
        <w:tc>
          <w:tcPr>
            <w:tcW w:w="9978" w:type="dxa"/>
            <w:tcBorders/>
            <w:vAlign w:val="center"/>
          </w:tcPr>
          <w:p>
            <w:pPr>
              <w:pStyle w:val="TableContents"/>
              <w:bidi w:val="0"/>
              <w:spacing w:before="0" w:after="283"/>
              <w:jc w:val="both"/>
              <w:rPr/>
            </w:pPr>
            <w:r>
              <w:rPr/>
              <w:t>in the case of an acquisition, retention and integration of employees from the acquired company;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 the case of an acquisition, past intellectual property infringement or data security issues arising from the acquired company;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8"/>
        <w:gridCol w:w="575"/>
        <w:gridCol w:w="9502"/>
      </w:tblGrid>
      <w:tr>
        <w:trPr/>
        <w:tc>
          <w:tcPr>
            <w:tcW w:w="12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pPr>
            <w:r>
              <w:rPr/>
              <w:t>●</w:t>
            </w:r>
          </w:p>
        </w:tc>
        <w:tc>
          <w:tcPr>
            <w:tcW w:w="9502" w:type="dxa"/>
            <w:tcBorders/>
            <w:vAlign w:val="center"/>
          </w:tcPr>
          <w:p>
            <w:pPr>
              <w:pStyle w:val="TableContents"/>
              <w:bidi w:val="0"/>
              <w:spacing w:before="0" w:after="283"/>
              <w:jc w:val="both"/>
              <w:rPr/>
            </w:pPr>
            <w:r>
              <w:rPr/>
              <w:t>unforeseen costs or liabilities;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adverse effects on our existing business relationships with customers as a result of the acquisition or investment;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398"/>
        <w:gridCol w:w="9718"/>
      </w:tblGrid>
      <w:tr>
        <w:trPr/>
        <w:tc>
          <w:tcPr>
            <w:tcW w:w="8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pPr>
            <w:r>
              <w:rPr/>
              <w:t>●</w:t>
            </w:r>
          </w:p>
        </w:tc>
        <w:tc>
          <w:tcPr>
            <w:tcW w:w="9718" w:type="dxa"/>
            <w:tcBorders/>
            <w:vAlign w:val="center"/>
          </w:tcPr>
          <w:p>
            <w:pPr>
              <w:pStyle w:val="TableContents"/>
              <w:bidi w:val="0"/>
              <w:spacing w:before="0" w:after="283"/>
              <w:jc w:val="both"/>
              <w:rPr/>
            </w:pPr>
            <w:r>
              <w:rPr/>
              <w:t>the possibility of adverse tax consequences;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3"/>
        <w:gridCol w:w="9969"/>
      </w:tblGrid>
      <w:tr>
        <w:trPr/>
        <w:tc>
          <w:tcPr>
            <w:tcW w:w="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w:t>
            </w:r>
          </w:p>
        </w:tc>
        <w:tc>
          <w:tcPr>
            <w:tcW w:w="9969" w:type="dxa"/>
            <w:tcBorders/>
            <w:vAlign w:val="center"/>
          </w:tcPr>
          <w:p>
            <w:pPr>
              <w:pStyle w:val="TableContents"/>
              <w:bidi w:val="0"/>
              <w:spacing w:before="0" w:after="283"/>
              <w:jc w:val="both"/>
              <w:rPr/>
            </w:pPr>
            <w:r>
              <w:rPr/>
              <w:t>litigation or other claims arising in connection with the acquired company or investment;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 the case of foreign acquisitions, the need to integrate operations across different cultures and languages and to address the particular economic, currency, political and regulatory risks associated with specific countries.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identification of suitable acquisition, strategic investment or strategic partnership candidates can be costly and time consuming and can distract our management team from our current operations. If such strategic transactions require us to seek additional debt or equity financing, we may not be able to obtain such financing on terms favorable to us or at all, and such transactions may adversely affect our liquidity and capital structure. To the extent we issue equity and/or convertible securities as consideration in such strategic transactions, our shareholders may experience substantial dilution, which could adversely affect our share price, or result in issuances of securities with superior rights and preferences to our Class B Subordinate Voting Shares or the incurrence of debt with restrictive covenants that limit our future uses of capital in pursuit of business opportunities. Any strategic transaction might not strengthen our competitive position, may increase some of our risks, and may be viewed negatively by our customers, partners or investors. Even if we successfully complete a strategic transaction, we may not be able to effectively integrate the acquired business, technology, systems, control environment, solutions, personnel or operations into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experience unexpected changes in how we are required to account for strategic transactions pursuant to U.S. GAAP. We may also not achieve the anticipated benefits of any strategic transaction. 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incur unexpected costs, claims or liabilities that we incur during the strategic transaction or that we assume from the acquired company, or we may discover adverse conditions post-acquisition for which we have limited or no recourse.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transactions may be subject to approval by third parties, including by relevant government authorities, which could result in increased delay and costs, and may disrupt our business strategy if such approvals are ultimately denied or conditions are imposed on the approval. Acquisitions and the subsequent integration of new assets, businesses, key personnel, partners, customers, vendors and suppliers would likely require significant attention from our management and could result in a diversion of resources from our existing business, which in turn could have a material adverse effect on our operations. Acquired assets or businesses may also fail to generate the business or financial results we expect. Key personnel or large numbers of employees who join us through acquisitions may decide to leave to work for other businesses, including our competitors, thereby diminishing the value of our acquisitions. Acquisitions may also entail significant cash expenditures, dilutive issuances of equity securities, the incurrence of significant indebtedness, potential impairments of goodwill, amortization expenses for other intangible assets and exposure to unknown liabilities of acquired businesses. The professional services and other transactional costs associated with selecting, executing and integrating acquisitions may also be significant. Any failure to successfully identify, complete, manage and integrate acquisitions could materially and adversely affect our business, prospects, financial condition and results of operations, and could cause our share price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experienced in the past, and could also suffer future disruptions, outages, and other performance and quality problems with our quantum or information systems, our facilities, and other infrastructure on which they rely.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offering depends on our quantum information systems being available. We have experienced, and may in the future experience, disruptions, outages, defects and other performance and quality problems with our systems. We have also experienced, and may in the future experience, disruptions, outages, defects and other performance and quality problems with the public cloud, internet, private data center providers, facilities in which we build and deploy our systems and technology. These problems can be caused by a variety of factors, including software or firmware updates, vulnerabilities and defects in proprietary software and open-source software, hardware components, human error or misconduct, capacity constraints, design limitations, denial of service attacks or other security-related incidents, foreign objects or debris, weather, construction, supply chain events, or accidents and other force majeure. We do not have a contractual right with our public cloud providers that compensates us for any losses due to availability interruptions in the public cloud.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disruptions, outages, defects and other performance and quality problems with our quantum information systems or with the public cloud, internet and other information systems and infrastructure on which they rely, could result in reduced use of our systems, increased expenses, delayed delivery under our contractual commitments, and harm to our brand and reputation, any of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products may contain defects in design and manufacture that may cause them to not perform as expected or that may require repair, recalls and design changes.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quantum information systems may contain defects in design and manufacture that may cause them to not perform as expected or that may require repair, recalls and design changes. Our quantum solutions are inherently complex and incorporate technology and components that have not been used for other applications and that may contain defects and errors, particularly when first introduced. We have a limited frame of reference from which to evaluate the long-term performance of our products. There can be no assurance that we will be able to detect and fix any or all defects in our quantum solutions. If our products fail to perform as expected, customers may delay deliveries, terminate further orders or initiate product recalls, each of which could adversely affect our sales and brand and could adversely affect our business, prospects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element of our business is currently dependent upon our relationship with our cloud providers. There are no assurances that we will be able to commercialize quantum computers from our relationships with cloud providers or that our relationships with such cloud providers will not 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offer PennyLane on public clouds provided by AWS’s Amazon Braket and IBM Quantum. The companies that own these public clouds have internal quantum computing efforts that are competitive to our technology. There is risk that one or more of these cloud providers could use their respective control of their clouds to embed innovations or privileged interoperating capabilities in competing products, bundle competing products, provide us with unfavorable pricing or decline to provide us access to their cloud, leverage their cloud customer relationships to exclude us from opportunities, and treat us and our end users differently with respect to terms and conditions or regulatory requirements than they would treat their similarly situated customers. Further, they have the resources to acquire or partner with existing and emerging providers of competing technology and thereby accelerate adoption of those competing technologies. All of the foregoing could make it difficult or impossible for us to provide products and services that compete favorably with those of the public cloud providers.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material change in our contractual and other business relationships with our public cloud providers could result in harm to our brand and reputation and reduced use of our systems, which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photonic qubits can operate at or near room temperature, certain optical and electronic subsystems (e.g., detectors, stabilization assemblies or supporting electronics) may require temperature control or other environmental conditioning to meet fidelity and stability targets. If our systems require more stringent operating conditions than anticipated, or if we cannot achieve performance targets without cooling or precision environmental controls, our cost, footprint, power needs and serviceability could increase, delaying commercialization and impairing customer adoption.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International Expansion and Future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our success depends, in part, on our ability to expand sales internationally, our business will be susceptible to risks associated with international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maintain our head office in Canada and have offices and/or have personnel in the United States, the United Kingdom, Europe, India and Australia. In the year ended December 31, 2025, our Canadian, U.S., and non-Canadian and non-U.S. revenue was approximately 17%, 77% and 6% of our total revenue, respectively. In the three months ended March 31, 2026, our Canadian, U.S., and non-Canadian and non-U.S. revenue was approximately 2%, 89% and 9% of our total revenue, respectively. We expect to continue to expand our international operations by developing our sales and operations presence internationally, which may include opening offices in new jurisdictions. Any additional international expansion efforts that we may undertake may not be successful. In addition, conducting international operations subjects us to new risks, some of which we have not generally faced in Canada or other countries where we currently transact. These risks include, among other things: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lack of familiarity and burdens of complying with foreign laws, legal standards, privacy and cybersecurity standards, regulatory requirements, tariffs and other barriers, and the risk of penalties to our customers and individual members of management or employees if our practices are deemed to not be in compliance;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practical difficulties of enforcing intellectual property rights in countries with varying laws and standards and reduced or varied protection for intellectual property rights in some countries;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 evolving legal framework and additional legal or regulatory requirements for privacy and cybersecurity, which may necessitate the establishment of systems to maintain data in local markets, requiring us to invest in additional data centers and network infrastructure, and the implementation of additional employee privacy documentation (including locally compliant privacy notices and policies), all of which may involve substantial expense and may cause us to need to divert resources from other aspects of our business, all of which may adversely affect our business;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jc w:val="center"/>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unexpected changes in regulatory requirements, taxes, trade laws, tariffs, export quotas, custom duties or other trade restrictions;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441"/>
        <w:gridCol w:w="9666"/>
      </w:tblGrid>
      <w:tr>
        <w:trPr/>
        <w:tc>
          <w:tcPr>
            <w:tcW w:w="9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pPr>
            <w:r>
              <w:rPr/>
              <w:t>●</w:t>
            </w:r>
          </w:p>
        </w:tc>
        <w:tc>
          <w:tcPr>
            <w:tcW w:w="9666" w:type="dxa"/>
            <w:tcBorders/>
            <w:vAlign w:val="center"/>
          </w:tcPr>
          <w:p>
            <w:pPr>
              <w:pStyle w:val="TableContents"/>
              <w:bidi w:val="0"/>
              <w:spacing w:before="0" w:after="283"/>
              <w:jc w:val="both"/>
              <w:rPr/>
            </w:pPr>
            <w:r>
              <w:rPr/>
              <w:t>restrictions on the repatriation of funds;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scarcity of hard currency, including the U.S. dollar, which may require a transfer or loan of funds to the operations in such countries, which they may not be able to repay on a timely basis;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311"/>
        <w:gridCol w:w="9825"/>
      </w:tblGrid>
      <w:tr>
        <w:trPr/>
        <w:tc>
          <w:tcPr>
            <w:tcW w:w="6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w:t>
            </w:r>
          </w:p>
        </w:tc>
        <w:tc>
          <w:tcPr>
            <w:tcW w:w="9825" w:type="dxa"/>
            <w:tcBorders/>
            <w:vAlign w:val="center"/>
          </w:tcPr>
          <w:p>
            <w:pPr>
              <w:pStyle w:val="TableContents"/>
              <w:bidi w:val="0"/>
              <w:spacing w:before="0" w:after="283"/>
              <w:jc w:val="both"/>
              <w:rPr/>
            </w:pPr>
            <w:r>
              <w:rPr/>
              <w:t>difficulties in managing systems integrators and partners;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299"/>
        <w:gridCol w:w="9840"/>
      </w:tblGrid>
      <w:tr>
        <w:trPr/>
        <w:tc>
          <w:tcPr>
            <w:tcW w:w="6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pPr>
            <w:r>
              <w:rPr/>
              <w:t>●</w:t>
            </w:r>
          </w:p>
        </w:tc>
        <w:tc>
          <w:tcPr>
            <w:tcW w:w="9840" w:type="dxa"/>
            <w:tcBorders/>
            <w:vAlign w:val="center"/>
          </w:tcPr>
          <w:p>
            <w:pPr>
              <w:pStyle w:val="TableContents"/>
              <w:bidi w:val="0"/>
              <w:spacing w:before="0" w:after="283"/>
              <w:jc w:val="both"/>
              <w:rPr/>
            </w:pPr>
            <w:r>
              <w:rPr/>
              <w:t>increased or unexpected supply chain challenges or delays;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2"/>
        <w:gridCol w:w="547"/>
        <w:gridCol w:w="9536"/>
      </w:tblGrid>
      <w:tr>
        <w:trPr/>
        <w:tc>
          <w:tcPr>
            <w:tcW w:w="12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pPr>
            <w:r>
              <w:rPr/>
              <w:t>●</w:t>
            </w:r>
          </w:p>
        </w:tc>
        <w:tc>
          <w:tcPr>
            <w:tcW w:w="9536" w:type="dxa"/>
            <w:tcBorders/>
            <w:vAlign w:val="center"/>
          </w:tcPr>
          <w:p>
            <w:pPr>
              <w:pStyle w:val="TableContents"/>
              <w:bidi w:val="0"/>
              <w:spacing w:before="0" w:after="283"/>
              <w:jc w:val="both"/>
              <w:rPr/>
            </w:pPr>
            <w:r>
              <w:rPr/>
              <w:t>differing technology standards;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different pricing environments, longer sales cycles, longer accounts receivable payment cycles, and difficulties in collecting accounts receivable;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50"/>
        <w:gridCol w:w="9900"/>
      </w:tblGrid>
      <w:tr>
        <w:trPr/>
        <w:tc>
          <w:tcPr>
            <w:tcW w:w="5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increased financial accounting and reporting burdens and complexities;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difficulties in managing and staffing international operations, including the proper classification of independent contractors and other contingent workers, differing employer-employee relationships and local employment laws;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increased costs involved with recruiting and retaining an expanded employee population, including highly skilled workers and leaders in the quantum computing industry, outside of Canada through cash and equity-based incentive programs, and legal costs and regulatory restrictions in issuing our shares to employees outside of Canada;</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global political and regulatory changes that may lead to restrictions on immigration and travel for our employees;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fluctuations in exchange rates that may decrease the value of our foreign-based revenue or increase the cost of our foreign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global public health threats or geopolitical events such as tensions in and around Taiwan, Ukraine, the Middle East and other areas of the world;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425"/>
        <w:gridCol w:w="9686"/>
      </w:tblGrid>
      <w:tr>
        <w:trPr/>
        <w:tc>
          <w:tcPr>
            <w:tcW w:w="9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pPr>
            <w:r>
              <w:rPr/>
              <w:t>●</w:t>
            </w:r>
          </w:p>
        </w:tc>
        <w:tc>
          <w:tcPr>
            <w:tcW w:w="9686" w:type="dxa"/>
            <w:tcBorders/>
            <w:vAlign w:val="center"/>
          </w:tcPr>
          <w:p>
            <w:pPr>
              <w:pStyle w:val="TableContents"/>
              <w:bidi w:val="0"/>
              <w:spacing w:before="0" w:after="283"/>
              <w:jc w:val="both"/>
              <w:rPr/>
            </w:pPr>
            <w:r>
              <w:rPr/>
              <w:t>possible nationalization or expropriation;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6"/>
        <w:gridCol w:w="657"/>
        <w:gridCol w:w="9402"/>
      </w:tblGrid>
      <w:tr>
        <w:trPr/>
        <w:tc>
          <w:tcPr>
            <w:tcW w:w="14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pPr>
            <w:r>
              <w:rPr/>
              <w:t>●</w:t>
            </w:r>
          </w:p>
        </w:tc>
        <w:tc>
          <w:tcPr>
            <w:tcW w:w="9402" w:type="dxa"/>
            <w:tcBorders/>
            <w:vAlign w:val="center"/>
          </w:tcPr>
          <w:p>
            <w:pPr>
              <w:pStyle w:val="TableContents"/>
              <w:bidi w:val="0"/>
              <w:spacing w:before="0" w:after="283"/>
              <w:jc w:val="both"/>
              <w:rPr/>
            </w:pPr>
            <w:r>
              <w:rPr/>
              <w:t>credit market uncertainty;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89"/>
        <w:gridCol w:w="9852"/>
      </w:tblGrid>
      <w:tr>
        <w:trPr/>
        <w:tc>
          <w:tcPr>
            <w:tcW w:w="6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w:t>
            </w:r>
          </w:p>
        </w:tc>
        <w:tc>
          <w:tcPr>
            <w:tcW w:w="9852" w:type="dxa"/>
            <w:tcBorders/>
            <w:vAlign w:val="center"/>
          </w:tcPr>
          <w:p>
            <w:pPr>
              <w:pStyle w:val="TableContents"/>
              <w:bidi w:val="0"/>
              <w:spacing w:before="0" w:after="283"/>
              <w:jc w:val="both"/>
              <w:rPr/>
            </w:pPr>
            <w:r>
              <w:rPr/>
              <w:t>differing local product preferences and product requirements;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potentially adverse tax consequences, including the complexities of foreign value added tax (or other tax) systems, restrictions on the repatriation of earnings and transfer pricing requirements;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permanent establishment risks and complexities in connection with international payroll, tax and social security requirements for international employees.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operating in international markets also requires significant management attention and financial resources. We cannot be certain that the investment and additional resources required in establishing operations in other countries will produce desired levels of revenue or profitability.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laws and regulations applicable to our global operations also substantially increases our cost of doing business in foreign jurisdictions. We have limited experience in marketing, selling and supporting our services and platform outside of Canada. 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in a timely manner, our business, financial condition, revenues, results of operations or cash flows will suffer. We may be unable to keep current with changes in government requirements as they change from time to time. Failure to comply with these regulations could harm our business. In many countries, it is common for others to engage in business practices that are prohibited by our internal policies and procedures or other regulations applicable to us. Although we are in the process of assessing and implementing policies and procedures designed to ensure compliance with these laws and policies, there can be no assurance that all of our employees, contractors, partners and agents will comply with these laws and policies. Violations of laws or key control policies by our employees, contractors, partners or agents could result in delays in revenue recognition, financial reporting misstatements, enforcement actions, reputational harm, disgorgement of profits, fines, civil and criminal penalties, damages, injunctions, other collateral consequences or the prohibition of the importation or exportation of our solutions and could harm our business, financial condition, revenues, results of operations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international sales and operations subject us to additional risks and costs and exposure to foreign currency exchange rate fluctuations, that can adversely affect our business, financial condition, revenues, results of operations or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continuing to explore the expansion of our international operations as part of our growth strategy. However, there are a variety of risks and costs associated with our international sales and operations, which include making investments prior to the sales or use of quantum computers, the cost of conducting our business internationally and hiring and training international employees and the costs associated with complying with local law. Furthermore, we cannot predict the rate at which our quantum solutions will be accepted in international markets by potential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support and engineering organization in the United States is substantially smaller than our Canadian sales organization. We believe our ability to attract new customers to enter into development agreements or partnerships with us, subscribe to our platform or to attract existing customers to renew or expand their use of our platform is directly correlated to the level of engagement we obtain with the customer. To the extent we are unable to effectively engage with U.S. and non-Canadian customers due to our limited sales force capacity, we may be unable to effectively grow in international markets.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our international operations expand, our exposure to the effects of fluctuations in currency exchange rates grows. While we have primarily transacted with customers in U.S. and Canadian dollars historically, we expect to continue to expand the number of transactions with our customers that are denominated in foreign currencies in the future. Additionally, fluctuations in the value of the U.S. dollar, Canadian dollar and foreign currencies may make our products and services more expensive for international customers, which could harm our business. Additionally, we incur expenses for employee compensation and other operating expenses for our non-U.S. employees in the local currency for such locations. Fluctuations in the exchange rates between the U.S. dollar and other currencies could result in an increase to the U.S. dollar equivalent of such expenses. These fluctuations could cause our results of operations to differ from our expectations or the expectations of our investors. Additionally, such foreign currency exchange rate fluctuations could make it more difficult to detect underlying trends in our business and results of operations. We may attempt to mitigate a portion of these risks through foreign currency hedging based on our judgment of the appropriate trade-offs among risk, opportunity and exposure. Any future hedging activities may not offset the full, or in some cases any, adverse financial impact resulting from unfavorable movement in foreign currency exchange rates, which could adversely affect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international operations may subject us to greater than anticipated tax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taxes we may pay in different jurisdictions depends on the application of the tax laws of various jurisdictions, including Canada and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Like many other multinational companies, we are subject to tax in diverse jurisdictions and have structured our operations to reduce our effective tax rate. The taxing authorities of the jurisdictions in which we operate may challenge our methodologies for pricing intercompany transactions pursuant to any future intercompany arrangement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consolidated financial statements could fail to reflect adequate reserves to cover such a contingency. Similarly, a taxing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Compliance with Law, Government Regulation and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governmental export and import controls and trade and economic sanctions laws that could impair our ability to compete in global markets and subject us to liability if we are not in full compliance with applicable laws and other controls.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technology and services, and our operations and personnel are subject to various restrictions under export controls, import laws and regulations, and economic sanctions laws of Canada, the United States, and other jurisdictions in which we conduct business, including the Canadian Export and Import Permits Act, Special Economic Measures Act, Justice for Victims of Corrupt Foreign Officials Act, U.S. Export Administration Regulations administered by the U.S. Department of Commerce, the International Traffic in Arms Regulations administered by the U.S. Department of State’s Directorate of Defense Trade Controls, U.S. Customs regulations and trade and economic sanctions laws administered by the U.S. Department of Treasury’s Office of Foreign Assets Control. Export controls and trade and economic sanctions laws include restrictions or prohibitions on the sale or supply of certain products, technologies and services to embargoed or sanctioned countries and territories, and governments of these jurisdictions, as well as other countries, Persons and entities. Additionally, under these current and future laws and regulations, exports of our products, technology and services, as well as the underlying technology, may require export authorizations, including by license, a license exception or other appropriate government authorizations, and the filing of a classification request or certain reports to use a license exception, as applicable. If we need to obtain any necessary export licenses or other authorizations for a particular transaction, the process may be time-consuming and may result in the delay or loss of opportunities, and as a result, our business could be materially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take precautions to prevent our products and services and the underlying technology from being provided, deployed or used in violation of export controls and sanctions laws and regulations. However, we cannot provide assurance that such measures have prevented, or will prevent, violations by us or our partners or agents. Any violation of sanctions or export controls, including failure to obtain appropriate import, export or re-export licenses or authorizations, could result in significant monetary fines and penalties and government investigations, delays in approving or denials of export licenses and reputational harm and loss of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United States and Canada, various other countries regulate the import and export of certain products and technology, including import and export licensing requirements, and have enacted laws that could limit our ability to distribute our products, technologies, and services or could limit our customers’ ability to implement our products, technologies and services in those countries. The United States, Canada and several other countries have also recently enacted export controls on quantum computing technology and related software solutions and applications at specified levels of technological advancement. We will continue to review our existing compliance measures to ensure compliance with any applicable regulatory changes. We expect to incur significant costs in complying with these regulations. Regulations related to quantum computing are evolving and we may face additional risks associated with changes to these regulations as well as increased licensing requirements and other restrictions.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products, or future changes in export and import and sanctions laws and regulations, may create delays in the introduction of our products and the underlying technology in international markets, prevent our clients with global operations from deploying our products globally, adversely affect our ability to hire personnel from certain countries to work on our products, or, in some cases, prevent the export or import of our products to certain countries, governments or persons altogether.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 in export or import controls, economic sanctions laws or related legislation, shift in the enforcement or scope of existing laws and regulations, or change in the countries, governments, persons or technologies targeted by such regulations, could result in decreased use of our products by, or in our decreased ability to export or sell our products to, existing or potential customers. Any decreased use of our products or limitation on our ability to export or sell our products in major international markets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subject to product liability claims, which could harm our financial condition and liquidity if we are not able to successfully defend or adequately insure against such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become subject to product liability claims, even those without merit, which could harm our business prospects, operating results and financial condition. We may face inherent risk of exposure to claims in the event our quantum solutions do not perform as expected or malfunction. A successful product liability claim against us could require us to pay a substantial monetary award; even an unsuccessful claim may involve the expenditure of substantial funds in order to defend. Moreover, a product liability claim could generate substantial negative publicity about our quantum solutions and business and inhibit or prevent commercialization of other future quantum computing technology and related software solutions and applications, which would have material adverse effects on our brand, business, prospects and operating results. Any insurance coverage might not be sufficient to cover all potential product liability claims. Any lawsuit seeking significant monetary damages either in excess of our coverage, or outside of our coverage, may have a material adverse effect on our reputation, business and financial condition. We may not be able to secure additional product liability insurance coverage on commercially acceptable terms or at reasonable costs when needed, particularly if we do face liability for our products and are forced to make a claim under our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Contracts with government entities subject us to risks, including early termination, audits, investigations, sanctions and penalties.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business strategy, we have entered into and may enter into additional contracts with government entities, including contracts with the U.S. Department of Defense, among others, which subject our business to statutes and regulations applicable to companies doing business with the government, including the Federal Acquisition Regulation in the U.S. and the Government Contracts Regulations in Canada. These government contracts customarily contain provisions that give the government substantial rights and remedies, many of which are not typically found in commercial contracts and which are unfavorable to contractors. For instance, most contracts with U.S. or Canadian government agencies include provisions that allow the government to unilaterally terminate or modify contracts for convenience, and in that event, the counterparty to the contract may generally recover only its incurred or committed costs and settlement expenses and profit on work completed prior to the termination. If the government terminates a contract for default, the defaulting party may be liable to the government for damages caused by the default, including for any extra costs incurred by the government in procuring undelivered items from another source.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government contracts normally contain additional requirements that may increase our costs of doing business, reduce our profits, and expose us to liability for failure to comply with these terms and conditions. These requirements could include, for example:</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3"/>
        <w:gridCol w:w="9945"/>
      </w:tblGrid>
      <w:tr>
        <w:trPr/>
        <w:tc>
          <w:tcPr>
            <w:tcW w:w="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w:t>
            </w:r>
          </w:p>
        </w:tc>
        <w:tc>
          <w:tcPr>
            <w:tcW w:w="9945" w:type="dxa"/>
            <w:tcBorders/>
            <w:vAlign w:val="center"/>
          </w:tcPr>
          <w:p>
            <w:pPr>
              <w:pStyle w:val="TableContents"/>
              <w:bidi w:val="0"/>
              <w:spacing w:before="0" w:after="283"/>
              <w:jc w:val="both"/>
              <w:rPr/>
            </w:pPr>
            <w:r>
              <w:rPr/>
              <w:t>specialized disclosure and accounting requirements unique to government contracts;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w:t>
            </w:r>
          </w:p>
        </w:tc>
        <w:tc>
          <w:tcPr>
            <w:tcW w:w="9996" w:type="dxa"/>
            <w:tcBorders/>
            <w:vAlign w:val="center"/>
          </w:tcPr>
          <w:p>
            <w:pPr>
              <w:pStyle w:val="TableContents"/>
              <w:bidi w:val="0"/>
              <w:spacing w:before="0" w:after="283"/>
              <w:jc w:val="both"/>
              <w:rPr/>
            </w:pPr>
            <w:r>
              <w:rPr/>
              <w:t>cybersecurity safeguards and assessments beyond what are typically required by commercial equivalents;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financial and compliance audits of our cost structure, accounting controls and procedures and adequacy of our policies and systems to meet regulatory or contractual requirements. These audits may result in potential liability for price adjustments, recoupment of government funds after such funds have been spent, civil and criminal penalties, or administrative sanctions such as suspension or debarment from doing business with government entities;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jc w:val="center"/>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granting the government certain rights to inventions, data, software codes and related material that we develop under government-funded contracts and subcontracts, which may permit the government to disclose or license this information to third parties, including, in some instances, our competitors;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requirements to fulfill government contracts ahead of our commercial contracts (for example, under the Defense Priorities and Allocations System Program in the U.S. or the </w:t>
            </w:r>
            <w:r>
              <w:rPr>
                <w:i/>
              </w:rPr>
              <w:t>Defense Production Act</w:t>
            </w:r>
            <w:r>
              <w:rPr/>
              <w:t xml:space="preserve"> in Canada), which could prevent us from meeting our commercial customer contracts’ requirements or schedules;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278"/>
        <w:gridCol w:w="9865"/>
      </w:tblGrid>
      <w:tr>
        <w:trPr/>
        <w:tc>
          <w:tcPr>
            <w:tcW w:w="6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w:t>
            </w:r>
          </w:p>
        </w:tc>
        <w:tc>
          <w:tcPr>
            <w:tcW w:w="9865" w:type="dxa"/>
            <w:tcBorders/>
            <w:vAlign w:val="center"/>
          </w:tcPr>
          <w:p>
            <w:pPr>
              <w:pStyle w:val="TableContents"/>
              <w:bidi w:val="0"/>
              <w:spacing w:before="0" w:after="283"/>
              <w:jc w:val="both"/>
              <w:rPr/>
            </w:pPr>
            <w:r>
              <w:rPr/>
              <w:t>public disclosures of certain contract and company information;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mandatory security and privacy framework compliance requirements, including the handling of controlled unclassified information in the U.S. or protected or classified data in Canada;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mandatory socioeconomic compliance requirements, including labor requirements, non-discrimination and affirmative action programs and environmental, health and safety compliance requirements.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contracts are also generally subject to greater scrutiny by the government than commercial contracts are by commercial customers. For example, government agencies can initiate reviews, audits and investigations regarding our compliance with government contract requirements. In addition, if we fail to comply with government contracting laws, regulations and contract requirements, our contracts may be subject to termination, and we may be subject to financial and/or other liability under our contracts, the U.S. Federal Civil False Claims Act (including treble damages and other penalties), or criminal law. In particular, the False Claims Act’s “whistleblower” provisions also allow private individuals, including present and former employees, to sue on behalf of the U.S. government. Any penalties, fines, suspension, or damages could adversely affect our ability to operate our business and our financial results. Responding to any investigation or action relating to government contracts could result in a significant diversion of management’s attention and resources and significant defense costs and other professional fees.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may also include non-U.S. and non-Canadian governments. Similar procurement, budgetary, contract and audit risks that apply in the context of U.S. or Canadian government contracting may also apply to our doing business with these entities. In addition, compliance with complex regulations and contracting provisions in a variety of jurisdictions can be expensive and consume significant management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use hazardous materials in a manner that causes injury or violates laws or regulations, we could be liable for damages or subject to enforcement 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product development activities currently require the controlled use of potentially harmful hazardous materials. We cannot eliminate the risk of contamination, exposure or injury to employees or third parties from the use, storage, transportation, handling or disposal of these materials. In the event of contamination, exposure or injury, we could be held liable for any resulting damages, and any liability could exceed our resources or any applicable insurance coverage. Additionally, we are subject to, on an ongoing basis, laws and regulations in the jurisdictions in which we operate governing the use, storage, handling, labeling, transportation, transfer, discharge and disposal of these materials and specified waste products. We generally use third-party vendors to transport and dispose of waste, including regulated medical waste, hazardous waste and/or radioactive materials that we may use during research. The cost of compliance with these laws and regulations, including new legislation or regulations, may become significant and could have a material adverse effect on our financial condition,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requirements relating to environmental health and safety regulations and environmental remediation matters, which could adversely affect our business, results of operation and reputation.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numerous environmental laws and regulations in the jurisdictions in which we operate governing, among other things, solid and hazardous waste storage, treatment, transportation, and disposal, and remediation, response to and reporting of releases of hazardous materials. There are significant capital, operating and other costs associated with compliance with these environmental laws and regulations. Environmental laws and regulations may become more stringent in the future, which could increase costs of compliance, result in heightened regulatory enforcement, or require us to manufacture with alternative technologies and materials.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and authorities in the jurisdictions in which we operate also regulate a variety of matters, including, but not limited to, health, safety, labeling, record keeping, and permitting in addition to the environmental matters discussed above. New legislation and regulations may require us to make material changes to our operations, resulting in significant cost increases, including production and compliance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manufacturing process will have hazards such as, but not limited to, hazardous materials, machines with moving parts, and high voltage and/or high current electrical systems typical of manufacturing equipment and related safety incidents. There may be environmental, health or safety incidents that damage machinery or product, slow or stop production, or harm employees or the environment. Consequences may include regulatory enforcement measures, litigation, complaints, regulation, fines, increased insurance premiums, mandates to temporarily or permanently halt production, workers’ compensation claims, or other actions that impact the company brand, finances, or ability to operate.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third parties with whom we work are subject to stringent and evolving laws, regulations and rules, contractual obligations, industry standards, policies and other obligations in the jurisdictions in which we operate related to data privacy and security. Our (or the third parties with whom we work)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we process personal data and other sensitive information. Our data storage and processing activities may subject us to numerous privacy, data protection and security obligations, such as various laws, regulations, guidance, industry standards, external and internal privacy and security policies, contractual requirements and other obligations relating to data privacy, localization and security. Laws and regulations governing privacy, data protection and data sovereignty are rapidly evolving, extensive, complex, and include inconsistencies and uncertainties that may conflict with other rules or our practices. Further, new laws, rules, and regulations could be enacted with which we are not familiar or with which our practices do not comply.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Canada and the United States, federal, provincial, state and local governments have enacted numerous privacy and security laws, including data breach notification laws, personal data privacy laws, consumer protection laws (e.g., Section 5 of the Federal Trade Commission Act) and other similar laws.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CCPA applies to personal data of California consumers, business representatives and employees who are California residents, and requires covered businesses to provide specific disclosures in privacy notices and honor requests of such individuals to exercise certain privacy rights. The CCPA provides for fines and allows private litigants affected by certain data breaches to recover significant statutory damages. Similar laws are being considered in several other states, as well as at the federal and local levels, and we expect more states to pass similar laws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Canada, the Personal Information Protection and Electronic Documents Act and substantially similar provincial privacy laws in Alberta, British Columbia and Québec include requirements to obtain meaningful consent for the collection, use, and disclosure of personal data (subject to limited exceptions), limit data collection to that which is necessary for identified purposes, ensure the accuracy and security of personal data, and afford individuals with certain rights with respect to their personal data (e.g., right to access, correct, withdraw consent). The exercise of these rights may impact our business and ability to provide our products and services. Québec’s recently amended private sector legislation includes stricter obligations, including a confidentiality by default standard, restrictions on transborder data transfers, requirements for technologies used to identify, locate and profile individuals and the use of automated decision making, and statutory obligations to conduct privacy impact assessments. These laws are enforced by Canadian privacy regulators through compliance agreements, orders, or court action. Canadian privacy laws also include potentially significant penalties. Québec’s recently amended privacy law also provides for penal fines of up to C$25 million or 4% of worldwide turnover (whichever is greater). We expect similar reforms to other federal and provincial privacy laws in Canada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Outside Canada and the United States, an increasing number of laws, regulations, industry standards and other obligations may govern privacy, data protection and security. For example, the European Union’s General Data Protection Regulation (“EU GDPR”), the UK’s General Data Protection Regulation (“UK GDPR”), Australia’s Privacy Act, and China’s Personal Information Protection Law (“PIPL”) impose strict requirements for processing personal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under the EU and UK GDPR, companies may face temporary or definitive bans on data processing and other corrective actions; fines of up to 20 million Euros under the EU GDPR, 17.5 million pounds sterling under the UK GDPR or, in each case, or 4% of annual global revenue, whichever is greater; or private litigation related to processing of personal data brought by classes of data subjects or consumer protection organizations authorized at law to represent their interests. Additionally, we target customers in Asia and may be subject to new and emerging data protection and privacy regimes in Asia, including China’s PIPL, Japan’s Act on the Protection of Personal Information, and Singapore’s Personal Data Protection Act. For example, China’s PIPL imposes a set of specific obligations on covered businesses in connection with their processing and transfer of personal data and imposes fines of up to RMB 50 million or 5% of the prior year’s total annual revenue of the violator.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become subject to new laws that regulate non-personal data. For example, the European Union’s Data Act imposes certain data and cloud service interoperability and switching obligations to enable users to switch between cloud service providers without undue delay or cost, as well as certain requirements concerning cross-border international transfers of, and governmental access to, non-personal data outside the European Economic Area (“EEA”). Depending on how the EEA and any similar laws are implemented and interpreted, we may have to adapt our business practices, contractual arrangements and services to comply with such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be unable to transfer personal data from Europe and other jurisdictions to the United States or other countries due to data localization requirements or limitations on cross-border data flows. In the ordinary course of business, we transfer personal data from Europe and other jurisdictions to the United States or other countries. Europe and other jurisdictions have enacted laws requiring data to be localized or limiting the transfer of personal data to other countries. In particular, the EEA and the UK each have significantly restricted the transfer of personal data to the United States and other countries whose privacy laws they believe are inadequate. Other jurisdictions may adopt similarly stringent interpretations of their data localization and cross-border data transfer laws. Although various mechanisms may be used to transfer personal data from the EEA and UK to the United States in compliance with law, such as the EEA’s and UK’s respective standard contractual clauses, the EU-U.S. Data Privacy Framework, the UK extension to the EU-U.S. Data Privacy Framework, and the Swiss-U.S. Data Privacy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transferring or other processing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data out of Europe for allegedly violating the EU GDPR’s cross-border data transfer limitations. Regulators in other jurisdictions, including the United States, have also enacted and may, in the future, enact cross-border data restrictions the violation of which could lead to civil and criminal fines and penalties.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privacy, data protection and security laws, we are contractually subject to industry standards adopted by industry groups and may become subject to additional obligations in the future. We are also bound by other contractual obligations related to privacy, data protection and security, and our efforts to comply with such obligations may not be successful. For example, certain laws addressing privacy, data protection and security, such as the EU GDPR, Switzerland Federal Act on Data Protection (FADP), UK GDPR and CCPA, require our customers to impose specific contractual restrictions on their service providers. Additionally, some of our customers may require us to host personal data locally.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publish privacy policies, marketing materials and other statements, such as statements related to compliance with certain certifications or self-regulatory principles, regarding privacy, data protection and security. Regulators are increasingly scrutinizing these statements, and if these policies, materials or statements are or are perceived to be deficient, lacking in transparency, deceptive, unfair or misrepresentative of our practices, we may be subject to investigation, enforcement actions by regulators, or other adverse consequences.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Obligations related to privacy, data protection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at times fail, or be perceived to have failed, in our efforts to comply with our privacy, data protection or security obligations. Moreover, despite our efforts, our personnel or third parties with whom we work may fail, or be perceived to have failed, to comply with such obligations, which could negatively impact our business operations. If we or third parties with whom we work fail, or are perceived to have failed, to address or comply with applicable privacy, data protection or security obligations, we could face significant consequences, including but not limited to: government enforcement actions (e.g., investigations, fines, penalties, audits, inspections and similar events); litigation (including class-action claims); additional reporting requirements and/or oversight; bans on processing personal data; and orders to destroy or not use personal data. In particular, plaintiffs have become increasingly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inability to process personal data or to operate in certain jurisdictions; interruptions or stoppages in our business operations or data collection; limited ability to develop or commercialize our products; expenditure of time and resources to defend any claim or inquiry; adverse publicity; or substantial changes to our business model or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Canadian, U.S., and other foreign anti-corruption, anti-bribery and similar laws, and non-compliance with such laws can subject us to criminal or civil liability and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Canadian </w:t>
      </w:r>
      <w:r>
        <w:rPr>
          <w:rFonts w:ascii="Times New Roman;Times;Serif" w:hAnsi="Times New Roman;Times;Serif"/>
          <w:b w:val="false"/>
          <w:i/>
          <w:caps w:val="false"/>
          <w:smallCaps w:val="false"/>
          <w:sz w:val="20"/>
        </w:rPr>
        <w:t>Criminal Code</w:t>
      </w:r>
      <w:r>
        <w:rPr>
          <w:rFonts w:ascii="Times New Roman;Times;Serif" w:hAnsi="Times New Roman;Times;Serif"/>
          <w:b w:val="false"/>
          <w:i w:val="false"/>
          <w:caps w:val="false"/>
          <w:smallCaps w:val="false"/>
          <w:sz w:val="20"/>
        </w:rPr>
        <w:t xml:space="preserve">, the Canadian </w:t>
      </w:r>
      <w:r>
        <w:rPr>
          <w:rFonts w:ascii="Times New Roman;Times;Serif" w:hAnsi="Times New Roman;Times;Serif"/>
          <w:b w:val="false"/>
          <w:i/>
          <w:caps w:val="false"/>
          <w:smallCaps w:val="false"/>
          <w:sz w:val="20"/>
        </w:rPr>
        <w:t>Corruption of Foreign Public Officials Act</w:t>
      </w:r>
      <w:r>
        <w:rPr>
          <w:rFonts w:ascii="Times New Roman;Times;Serif" w:hAnsi="Times New Roman;Times;Serif"/>
          <w:b w:val="false"/>
          <w:i w:val="false"/>
          <w:caps w:val="false"/>
          <w:smallCaps w:val="false"/>
          <w:sz w:val="20"/>
        </w:rPr>
        <w:t xml:space="preserve"> (“CFPOA”), the U.S. Foreign Corrupt Practices Act of 1977, as amended (the “FCPA”), the U.S. domestic bribery statute contained in 18 U.S.C. § 201, the U.S. Travel Act, and other anti-bribery, and anti-corruption laws in countries in which we conduct activities. Anti-corruption and anti-bribery laws are interpreted broadly to generally prohibit companies, their employees, and their third-party intermediaries from authorizing, promising, offering, providing, soliciting, or accepting, directly or indirectly, anything of value, which may include improper payments or benefits to or from any person whether in the public or private sector. We may engage with partners and third-party intermediaries to conduct our business abroad, including marketing our services and obtaining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and of our employees, representatives, contractors, partners and agents, even if we do not explicitly authorize such activities. The FCPA and the CFPOA also requires public companies to make and keep accurate books and records that accurately reflect the transactions of the corporation and to devise and maintain an adequate system of internal accounting controls. We cannot provide any assurance that all of our employees and agents will not take actions in violation of our compliance policies and applicable law, for which we may be ultimately held responsible. As a relatively new company, our compliance policies and systems may not be as robust as those companies which have a longer history and have access to larger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tax laws could adversely affect our business prospects and financial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income and other taxes in Canada, the United States and other jurisdictions, each of which has its own rules. Our current and future effective tax rates may be subject to volatility or adversely affected by a number of factors, including changes in the valuation of our deferred tax assets and liabilities; expected timing and amount of the release of any tax valuation allowances; tax effects of share-based compensation; or lower than anticipated future earnings in jurisdictions where we have lower statutory tax rates and higher than anticipated future earnings in jurisdictions where we have higher statutory tax rates.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tax regimes we are subject to or operate under, including with respect to income and non-income taxes, are unsettled and may be subject to significant change. Changes in tax laws, regulations, or rulings, or changes in interpretations of existing laws and regulations, could materially adversely affect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many countries, including Canada, have implemented or proposed changes to existing tax laws, including a 15% global minimum tax. Any of these developments or changes in Canadian or U.S. federal, provincial, state or international tax laws or tax rulings could adversely affect our effective tax rate and our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be subject to audits of our income, sales and other transaction taxes by taxing authorities. Outcomes from these audits may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and future effective tax rates may be affected by changes in the mix of earnings in countries with differing statutory tax rates, changes in the valuation of deferred tax assets and liabilities and changes in tax laws or their interpretation. In addition, we may be subject to tax audits by various tax jurisdictions. Although we believe our tax liabilities are reasonably estimated and accounted for in accordance with applicable laws and principles, an adverse resolution by one or more taxing authorities may have a material impact on the results of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Investments in us may be subject to U.S. and Canadian foreign investment laws governing direct and indirect foreign acquisitions of and investments in U.S. or Canadian businesses. If applicable, such laws may impose conditions or limitations on a foreign investor’s ownership of and rights with respect to Xanadu or Old Xanadu (including, but not limited to, limits on an investor’s total ownership interest in and/or information and governance rights with respect to Xanadu or Old Xanadu).</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Certain transactions that involve the acquisition of or investment in a U.S. business by a non-U.S. buyer or investor may be subject to review and approval by the Committee on Foreign Investment in the United States (“CFIUS”). Whether CFIUS has jurisdiction to review an acquisition or investment transaction depends on — among other factors — the nature and structure of the transaction, including the level of beneficial foreign ownership interest and the nature of any information or governance rights afforded to a foreign shareholder. Certain transactions that involve the acquisition of or investment in a Canadian business by a non-Canadian buyer or investor may be subject to an extended national security review by the Government of Canada in accordance with the </w:t>
      </w:r>
      <w:r>
        <w:rPr>
          <w:rFonts w:ascii="Times New Roman;Times;Serif" w:hAnsi="Times New Roman;Times;Serif"/>
          <w:b w:val="false"/>
          <w:i/>
          <w:caps w:val="false"/>
          <w:smallCaps w:val="false"/>
          <w:sz w:val="20"/>
        </w:rPr>
        <w:t>Investment Canada Act</w:t>
      </w:r>
      <w:r>
        <w:rPr>
          <w:rFonts w:ascii="Times New Roman;Times;Serif" w:hAnsi="Times New Roman;Times;Serif"/>
          <w:b w:val="false"/>
          <w:i w:val="false"/>
          <w:caps w:val="false"/>
          <w:smallCaps w:val="false"/>
          <w:sz w:val="20"/>
        </w:rPr>
        <w:t>. Quantum computing has been identified as a “sensitive sector” by the Government of Canada, meaning investments by non-Canadians in this sector may be subject to enhanced review.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all investments that could result in foreign “control” of a U.S. business as that term is defined in the relevant regulations are subject to CFIUS jurisdiction. Foreign investments in U.S. businesses that have a qualifying nexus to “critical technology,” “critical infrastructure,” or “sensitive personal data” are subject to a lower CFIUS jurisdiction threshold that is triggered when a foreign investor will not “control” the U.S. business, but will be afforded certain information or governance rights, including board representation or observer rights, access to certain non-public technical information, or the right to involvement in certain company decision-making. When CFIUS has jurisdiction to review a foreign investment transaction involving a U.S. business that produces, develops, tests, manufactures, fabricates, or designs “critical technology,” such transaction may trigger a mandatory pre-closing CFIUS filing requirement.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Outside the United States, other countries are expanding their own foreign direct investment (“FDI”) regimes, pursuant to which investments in and transactions with companies that have a qualifying presence outside of the United States may be subject to review by non-U.S. FDI regulators. Any regulatory review of an investment or other transaction by CFIUS or other FDI regulator may have outsized impacts on transaction certainty, timing, feasibility, and cost, among other things. CFIUS and other FDI regulatory regimes are evolving. In the event CFIUS or another FDI regulator wishes to review one or more proposed or completed transactions between Xanadu and a foreign counterparty, there can be no assurances that such foreign counterparty will be able to maintain or proceed with such transaction on terms acceptable to such counterparty. With respect to Xanadu, CFIUS or other FDI regulators may exercise jurisdiction over such transactions and may seek to prohibit, unwind, or impose limitations or restrictions thereon. Should CFIUS or other FDI regulator determine that a transaction with a foreign counterparty violates relevant regulations, the parties thereto could face a financial penalty.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exposed to risks associated with litigation, investigations and regulatory proceedings.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face legal, administrative and regulatory proceedings, orders, claims, demands and/or investigations involving shareholders, customers, competition and/or other issues relating to our business. Litigation and regulatory proceedings are inherently uncertain, and adverse rulings could occur, including monetary damages, or an injunction stopping us from operating or engaging in certain business practices, or requiring other remedies, such as compulsory licensing of patents.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unfavorable outcome or settlement or any other legal, administrative and regulatory proceeding may result in a material adverse impact on our business, results of operations, financial position and overall trends. In addition, regardless of the outcome, litigation can be costly, time-consuming, and disruptive to our operations. Any claims or litigation, even if fully indemnified or insured, could damage our reputation and make it more difficult to compete effectively or to obtain adequate insurance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laws and regulations our business is subject to are complex and change frequently. We may be required to incur significant expense to comply with changes in, or remedy violations of, these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 Our business and operations could be negatively affected if we become subject to litigation, including any securities litigation or shareholder activism, which could cause us to incur significant expense, hinder execution of business and growth strategy and impact the share price of our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various legal proceedings relating to matters incidental to the ordinary course of our business, including intellectual property, commercial, product liability, employment, class action, whistleblower and other litigation and claims, and governmental and other regulatory investigations and proceedings. Such matters can be time-consuming, divert management’s attention and resources from the operation of our business and cause us to incur significant expenses or liability or require us to change our business practices. Because of the potential risks, expenses, and uncertainties of litigation, from time to time, we may settle disputes, even where we believe that we have meritorious claims or defenses. Because litigation is inherently unpredictable, we cannot assure you that the results of any of these actions will not have a material adverse effect on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Volatility in the price of our Class B Subordinate Voting Shares or other reasons may in the future cause it to become the target of securities litigation or shareholder activism. Securities litigation and shareholder activism, including potential proxy contests, could result in substantial costs and divert management’s and the Board’s attention and resources from our business, which may adversely affect our business, financial condition and results of operations. Additionally, such securities litigation and shareholder activism could give rise to perceived uncertainties as to our future, adversely affect our relationships with service providers and make it more difficult to attract and retain qualified personnel. We may also be required to incur significant legal fees and other expenses related to any securities litigation and activist shareholder matters.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our share price could be subject to significant fluctuation or otherwise be adversely affected by the events, risks and uncertainties of any securities litigation and shareholder activism.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third parties to meet their contractual, legal, regulatory and other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distributors, suppliers, contract research organizations, vendors, service providers, business partners and other third parties to research, develop, manufacture, market and sell our products, as well as perform other services relating to our business. We rely on these third parties, some of which we have not yet developed partnerships or entered into long term supply agreements with, to meet their contractual, legal, regulatory and other obligations. A failure to maintain these relationships or poor performance by these third parties could negatively impact our business. In addition, we cannot guarantee that the contractual terms and protections and compliance controls, policies and procedures we have put in place will be sufficient to ensure that such third parties will meet their legal, contractual and regulatory obligations or that these terms, controls, policies, procedures and other protections will protect us from acts committed by our agents, contractors, distributors, suppliers, service providers or business partners that violate contractual obligations or the laws or regulations of the jurisdictions in which we operate, including matters respecting anti-corruption, fraud, bribery and kickbacks and false claims, pricing, sales and marketing practices, privacy laws and other legal obligations. Any failure of such third parties to meet these legal, contractual and regulatory obligations or any improper actions by such third parties or even allegations of such non-compliance or actions could damage our reputation, adversely impact our ability to conduct business in certain markets and subject us to civil or criminal legal proceedings and regulatory investigations, monetary and non-monetary damages and penalties and could cause us to incur significant legal and investigatory fees and, as a result, could have a material adverse effect on our business, financial condition and results of operations and could cause the price of our Class B Subordinate Voting Shares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secure sufficient license rights to intellectual property owned by our collaborators, or if we fail to comply with our obligations under our agreements with these collaborators, it could delay, prevent, or increase our costs of development and commercialization of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Collaboration with third parties to develop intellectual property is of critical importance to our business and our product development and commercialization plans and we are a party to co-development and collaboration agreements with third parties, including certain universities, foundries, government labs, and private companies, such as third party manufacturers. Our current and future plans may be heavily reliant upon these collaborations to develop patents, technology and other intellectual property that may be important or necessary to the development, manufacture and commercialization of our products. In some cases, these collaborations use certain intellectual property that may not be owned by the Company, and which intellectual property is not currently licensed to us under terms that would permit us to commercialize such intellectual property in our products. We expect that we will need to enter into additional license, supply and collaboration agreements in the future to secure sufficient license rights and supply terms that would enable us to bring our products to market and commercialize our products. There is no guarantee that these collaborators will be willing to enter into such agreements on commercially advantageous terms, if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our existing agreements with certain universities impose, and we expect that future license agreements with universities and other third party collaborators may impose, various financial and other obligations on us related to various commercial and development obligations. If we fail to comply with our obligations under our agreements with these collaborators, or if we fail to secure sufficient license rights to intellectual property owned by these collaborators, or if these third party collaborators otherwise have a right to terminate their current or future agreements with us, it could subject us to liability and substantially delay, prevent, or increase our costs of development, manufacturing, marketing and commercialization of our products, which could affect the competitive landscape for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have worked with and expect to continue to work with certain foundries and component suppliers that retain ownership of certain intellectual property related to their manufacturing processes. If we decide to switch foundries or suppliers or diversify our supply chain, we may be unable to timely license such intellectual property or obtain similar intellectual property from an alternate source, on commercially reasonable terms or at all. In such case, we could be required to invest substantial time and resources to redesigning our products, which could delay or otherwise have a material adverse effect on the development and commercialization of such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collaboration agreements, particularly those involving participation by more than one organization, may also result in joint ownership of intellectual property arising from the collaboration, or require us to negotiate the allocation of intellectual property rights. There is no guarantee that we will be able to reach consensus on such allocation on terms that are favorable to us, or at all. Additionally, these agreements may expire and the collaborators may be unwilling to extend such agreements on acceptable terms, if at all. Our business could significantly suffer, for example, if any current or future license agreements terminate or expire, if the licensors or collaborators fail to abide by the terms of the agreement, or if we are unable to enter into, extend rights under, or renew necessary agreements on acceptable terms. Further, collaboration with universities and researchers may subject us to university IP or commercialization policies that grant the university certain rights in our intellectual property, such as joint ownership interests, licenses for research or teaching purposes, or rights to share in revenue derived from that 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Collaboration with third parties to develop intellectual property and our future licensing of such intellectual property is of critical importance to our business and involves complex legal, business and scientific issues, and certain provisions in intellectual property license agreements may be susceptible to multiple interpretations. Disputes may arise between us and our collaborators regarding intellectual property subject to a current or future agreement, including: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89"/>
        <w:gridCol w:w="9974"/>
      </w:tblGrid>
      <w:tr>
        <w:trPr/>
        <w:tc>
          <w:tcPr>
            <w:tcW w:w="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w:t>
            </w:r>
          </w:p>
        </w:tc>
        <w:tc>
          <w:tcPr>
            <w:tcW w:w="9974" w:type="dxa"/>
            <w:tcBorders/>
            <w:vAlign w:val="center"/>
          </w:tcPr>
          <w:p>
            <w:pPr>
              <w:pStyle w:val="TableContents"/>
              <w:bidi w:val="0"/>
              <w:spacing w:before="0" w:after="283"/>
              <w:jc w:val="both"/>
              <w:rPr/>
            </w:pPr>
            <w:r>
              <w:rPr/>
              <w:t>the scope of rights granted under the relevant agreement and other interpretation-related issues;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whether and the extent to which our technology and processes infringe on intellectual property of the licensor that is not subject to the licensing agreement;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91"/>
        <w:gridCol w:w="9850"/>
      </w:tblGrid>
      <w:tr>
        <w:trPr/>
        <w:tc>
          <w:tcPr>
            <w:tcW w:w="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w:t>
            </w:r>
          </w:p>
        </w:tc>
        <w:tc>
          <w:tcPr>
            <w:tcW w:w="9850" w:type="dxa"/>
            <w:tcBorders/>
            <w:vAlign w:val="center"/>
          </w:tcPr>
          <w:p>
            <w:pPr>
              <w:pStyle w:val="TableContents"/>
              <w:bidi w:val="0"/>
              <w:spacing w:before="0" w:after="283"/>
              <w:jc w:val="both"/>
              <w:rPr/>
            </w:pPr>
            <w:r>
              <w:rPr/>
              <w:t>our right to sublicense patent and other rights to third parties;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diligence obligations with respect to the use of the licensed technology in relation to our development and commercialization of our product and technology, and what activities satisfy those diligence obligations;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ownership of inventions and know-how resulting from the joint creation or use of intellectual property by our licensors and the Company;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388"/>
        <w:gridCol w:w="9731"/>
      </w:tblGrid>
      <w:tr>
        <w:trPr/>
        <w:tc>
          <w:tcPr>
            <w:tcW w:w="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pPr>
            <w:r>
              <w:rPr/>
              <w:t>●</w:t>
            </w:r>
          </w:p>
        </w:tc>
        <w:tc>
          <w:tcPr>
            <w:tcW w:w="9731" w:type="dxa"/>
            <w:tcBorders/>
            <w:vAlign w:val="center"/>
          </w:tcPr>
          <w:p>
            <w:pPr>
              <w:pStyle w:val="TableContents"/>
              <w:bidi w:val="0"/>
              <w:spacing w:before="0" w:after="283"/>
              <w:jc w:val="both"/>
              <w:rPr/>
            </w:pPr>
            <w:r>
              <w:rPr/>
              <w:t>our right to transfer or assign the license;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6"/>
        <w:gridCol w:w="657"/>
        <w:gridCol w:w="9402"/>
      </w:tblGrid>
      <w:tr>
        <w:trPr/>
        <w:tc>
          <w:tcPr>
            <w:tcW w:w="14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pPr>
            <w:r>
              <w:rPr/>
              <w:t>●</w:t>
            </w:r>
          </w:p>
        </w:tc>
        <w:tc>
          <w:tcPr>
            <w:tcW w:w="9402" w:type="dxa"/>
            <w:tcBorders/>
            <w:vAlign w:val="center"/>
          </w:tcPr>
          <w:p>
            <w:pPr>
              <w:pStyle w:val="TableContents"/>
              <w:bidi w:val="0"/>
              <w:spacing w:before="0" w:after="283"/>
              <w:jc w:val="both"/>
              <w:rPr/>
            </w:pPr>
            <w:r>
              <w:rPr/>
              <w:t>the effects of termination.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and results of operations. We may not be able to exercise all rights and remedies available to us, including seeking to cure any breach by us, and otherwise seek to preserve our rights under agreement in a timely manner, at an acceptable cost or at all. Moreover, if disputes over intellectual property impair our ability to maintain or expand our current collaboration relationships on acceptable terms, we may be forced to invest further time, effort and funds into development of replacement or alternative intellectual property or technology with different partners, or in some cases, we may be unable to successfully develop and commercialize our products or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obtain and maintain patent protection for our products and technology, or if the scope of the patent protection obtained is not sufficiently broad or robust, our competitors could develop and commercialize products and technology similar or identical to ours, and our ability to successfully commercialize our products and technology may be adversely affected. Moreover, our trade secrets could be compromised, which could cause us to lose the competitive advantage resulting from these trade secrets.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significant part, on our ability to obtain, maintain, enforce and defend patents and other intellectual property rights, including trade secrets, with respect to our products and technology and to operate our business without infringing, misappropriating or otherwise violating the intellectual property rights of others. We may not be able to prevent unauthorized use of our intellectual property. We rely upon a combination of the intellectual property protections afforded by patent, copyright, trademark and trade secret laws in the United States, Canada and other jurisdictions, as well as license agreements and other contractual protections, to obtain, maintain, enforce and defend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 however, our employees and consultants may not abide by their obligations under their non-disclosure and invention assignment agreements. Our trade secrets may also be compromised, which could cause us to lose the competitive advantage from such trade secrets. Despite our efforts to protect our proprietary rights, third parties may attempt to copy or otherwise obtain and use our intellectual property. Monitoring unauthorized use of our intellectual property is difficult and costly, and the steps we have taken or will take to prevent misappropriation may not be sufficient. Any enforcement efforts we undertake, including litigation, could be time-consuming and expensive and could divert management’s attention, which could harm our business, results of operations and financial condition. In addition, existing intellectual property laws and contractual remedies may afford less protection than needed to safeguard our intellectual property portfolio.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copyright, trademark and trade secret laws vary significantly throughout the world. A number of foreign countries do not protect intellectual property rights to the same extent as do the laws of Canada and the United States. Therefore, our intellectual property rights may not be as strong or as easily enforced outside of Canada and the United States and efforts to protect against the unauthorized use of our intellectual property rights, technology and other proprietary rights may be more expensive and difficult outside of Canada and the United States. Failure to adequately protect our intellectual property rights could result in our competitors using our intellectual property to offer products, potentially resulting in the loss of some of our competitive advantage and a decrease in our revenue, which would adversely affect our business,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patent applications may not result in issued patents or our patent rights may be contested, circumvented, invalidated or limited in scope, any of which could have a material adverse effect on our ability to prevent others from interfering with our commercialization of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patent applications may not result in issued patents, which may have a material adverse effect on our ability to prevent others from commercially exploiting products similar to ours. The status of patents involves complex legal and factual questions, and the breadth of claims in such patents is uncertain. As a result, we cannot be certain that the patent applications that we file will result in patents being issued, or that our patents and any patents that may be issued to us will afford protection against competitors with similar technology. Additionally, failure to comply with applicable procedural, documentary, fee payment, foreign filing license and other similar requirements with the United States Patent and Trademark Office and various similar foreign governmental agencies could result in abandonment or lapse of the affected patent or patent application. Numerous patents and pending patent applications owned by others exist in the fields in which we have developed and are developing our technology. In addition to those who may have patents or patent applications directed to relevant technology with an effective filing date earlier than any of our existing patents or pending patent applications, any of our existing patents or pending patent applications may also be challenged by others on the basis that they are otherwise invalid or unenforceable. Furthermore, patent applications filed in foreign countries are subject to laws, rules and procedures that differ from those of Canada and the United States, and thus we cannot be certain that foreign patent applications related to issued Canadian or U.S. patents will be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our patent applications succeed and we are issued patents in accordance with them, it is still uncertain whether these patents — including any of the issued patents exclusively licensed to us — will be contested, circumvented, invalidated, found to be unenforceable or limited in scope in the future. The rights granted under any issued patents may not provide us with meaningful protection or competitive advantages, and some foreign countries provide significantly less effective patent enforcement than in the United States. In addition, the claims under any patents that issue from our patent applications may not be broad enough to prevent others from developing technologies that are similar or that achieve results similar to ours. The intellectual property rights of others could also bar us from licensing and exploiting any patents that issue from our pending applications. In addition, patents issued to us may be infringed upon or designed around by others and others may obtain patents that we need to license or design around, either of which would increase costs and may adversely affect our business, prospects,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intellectual property often results from the complex government and/or university arrangements that are subject to interpretation, and we may become subject to claims challenging the inventorship or ownership of our patents and other 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party to many agreements under which our employees, contractors and consultants within the United States, Canada and other countries create intellectual property. Examples include negotiated research and license agreements, government grants, and employment or consulting relationships with professors and/or graduate or PhD students (which individuals may be subject to university intellectual property policies). Each of these relationships may include complex contractual provisions, or be subject to university intellectual property policies, which allocate intellectual property rights between us and our contractual counterparties and, in some cases, contemplate intellectual property rights being jointly owned, the granting of licenses for research or teaching purposes, or rights to share in revenue derived from that intellectual property. Such allocations of intellectual property rights often result from the interpretations of these provisions and policies based on, among other factors, what funds or resources were used, the subject matter of the intellectual property, and whether new intellectual property is derived from or reliant on one of the parties’ background rights. From time to time we may enter into discussions or, in some cases, formal contractual disputes with our counterparties regarding the proper allocation of such rights. If our interpretation of the agreements, the relevant policies and/or the operative facts, under United States law and, where applicable, under non-United States law, were deemed incorrect or to otherwise vest ownership of intellectual property rights in a third party, the relevant intellectual property that is the subject of the dispute could be re-allocated to such third party, converted to a joint ownership structure, or otherwise reduced in value to our business. In such cases, our ability to successfully enforce our intellectual property portfolio, or even to commercialize our portfolio without having to share revenue, could be negatively impacted.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 the past have had, and may in the future have, third parties assert claims to intellectual property that was developed by such employees, contractors or consultants. We may also be subject to claims that collaborators or other third parties have an interest in our patents or other intellectual property as an owner, a joint owner, a licensee, an inventor, or a co-inventor. In the latter two cases, the failure to name the proper inventor or co-inventors on a patent application could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patented technology or as a result of questions regarding co-ownership of potential joint inventions. Litigation may be necessary to resolve these and other claims challenging inventorship and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adversely affect our business. Even if we are successful in defending against such claims, litigation could result in substantial costs and be a distraction to management and other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patent infringement and other intellectual property claims that could be costly to defend, result in injunctions and significant damage awards or other costs (including indemnification of third parties or costly licensing arrangements (if licenses are available at all)) and limit our ability to use certain key technologies in the future or require development of non-infringing products, services, or technologies, which could result in a significant expenditure and otherwise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become subject to intellectual property disputes. Our success depends, in part, on our ability to develop and commercialize our products, services and technologies without infringing, misappropriating or otherwise violating the intellectual property rights of third parties. However, we may not be aware that our products, services or technologies are infringing, misappropriating or otherwise violating third-party intellectual property rights and such third parties may bring claims alleging such infringement, misappropriation or violation. For example, there may be issued patents of which we are unaware, held by third parties that, if found to be valid and enforceable, could be alleged to be infringed by our current or future products, services or technologies. There also may be pending patent applications of which we are not aware that may result in issued patents, which could be alleged to be infringed by our current or future products, services or technologies. Because patent applications can take years to issue and are often afforded confidentiality for some period of time, there may currently be pending applications, unknown to us, that later result in issued patents that could cover our current or future products, services or technologies. Lawsuits can be time-consuming and expensive to resolve, and they divert management’s time and attention. Numerous patents and pending patent applications owned by others exist in the fields in which we have developed and are developing our technology. Companies that have developed and are developing technology are often required to defend against litigation claims based on allegations of infringement, misappropriation or other violations of intellectual property rights. Our products, services or technologies may not be able to withstand any third-party claims against their use. In addition, many companies have the capability to dedicate substantially greater resources to enforce their intellectual property rights and to defend claims that may be brought against them. In a patent infringement claim against us, we may assert, as a defense, that we do not infringe the relevant patent claims, that the patent is invalid or both. The strength of our defenses will depend on the patents asserted, the interpretation of these patents, our ability to argue non-infringement of these patents, and our ability to invalidate these patents. However, we could be unsuccessful in advancing non-infringement and/or invalidity arguments in our defense. In the United States, issued patents enjoy a presumption of validity, and the party challenging the validity of a patent claim must present clear and convincing evidence of invalidity, which is a high burden of proof. Conversely, the patent owner need only prove infringement by a preponderance of the evidence, which is a lower burden of proof. Our patent portfolio may not be large enough to deter patent infringement claims, and our competitors and others may now and in the future have significantly larger and more mature patent portfolios. Any litigation may also involve patent holding companies or other adverse patent owners that have no relevant product-, service- or technology-based revenue, and therefore, our patent portfolio may provide little or no deterrence as we would not be able to assert our patents against such entities or individuals. If a third party is able to obtain an injunction preventing us from accessing such third-party intellectual property rights, or if we cannot license or develop alternative technology for any infringing aspect of our business, we may be forced to limit or stop sales of our products, services or technologies or cease business activities related to such 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insurance may not cover potential claims of this type or may not be adequate to indemnify us for all liability that may be imposed. We cannot predict the outcome of lawsuits and cannot ensure that the results of any such actions will not have a material adverse effect on our business, financial condition and results of operations. Any intellectual property litigation to which we might become a party, or for which we are required to provide indemnification, regardless of the merit of the claim or our defenses, may require us to do one or more of the following: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cease making, selling, offering for sale, using or importing products, services and technologies that incorporate the intellectual property rights that allegedly infringe, misappropriate or violate the intellectual property of a third party;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2"/>
        <w:gridCol w:w="9958"/>
      </w:tblGrid>
      <w:tr>
        <w:trPr/>
        <w:tc>
          <w:tcPr>
            <w:tcW w:w="4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w:t>
            </w:r>
          </w:p>
        </w:tc>
        <w:tc>
          <w:tcPr>
            <w:tcW w:w="9958" w:type="dxa"/>
            <w:tcBorders/>
            <w:vAlign w:val="center"/>
          </w:tcPr>
          <w:p>
            <w:pPr>
              <w:pStyle w:val="TableContents"/>
              <w:bidi w:val="0"/>
              <w:spacing w:before="0" w:after="283"/>
              <w:jc w:val="both"/>
              <w:rPr/>
            </w:pPr>
            <w:r>
              <w:rPr/>
              <w:t>make substantial payments for legal fees, settlement payments or other costs or damages;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obtain a license, which may not be available on reasonable terms or at all, to make, sell, offer for sale, use or import the relevant products, services and technologies;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redesign the allegedly infringing solutions to avoid infringement, misappropriation or violation, which could be costly, time-consuming or impossible; 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indemnify organizations using our relevant products, services and technologies or third-party service providers.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 claims do not result in litigation or are resolved in our favor, these claims, and the time and resources necessary to resolve them, could divert the resources of our management and harm our business and operating results. Moreover, there could be public announcements of the results of hearings, motions or other interim proceedings or developments and if securities analysts or investors perceive these results to be negative, it could have a substantial adverse effect on the price of our Class B Subordinate Voting Shares. The occurrence of infringement claims may grow as the market for our products, services and technologies grows. Accordingly, our exposure to damages resulting from infringement claims could increase and this could further exhaust our financial and management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Some of our intellectual property has been conceived or developed through university and/or government-funded research or development and thus may be subject to the internal intellectual property policies of such universities and/or federal regulations or policies providing for certain rights for the funding government or imposing certain obligations on us, such as a license to the U.S. government covered by or applicable to such intellectual property, “march-in” rights, certain reporting requirements and a preference for domestic companies, and compliance with such regulations or policies (including related contractual obligations) may limit our exclusive rights and our ability to contract with domestic manufacturers, and may impose other restrictions on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intellectual property rights that we may wish to in-license in the future may have been generated through the use of U.S. government funding and are therefore subject to certain federal regulations. As a result, the U.S. government may have certain rights to intellectual property embodied in our current or future product candidates pursuant to the Bayh-Dole Act of 1980, or the Patent and Trademark Law Amendment. These U.S. government rights include a non-exclusive, non-transferable, irrevocable worldwide license to use inventions for any governmental purpose. In addition, the U.S. government has the right, under certain limited circumstances, to require the licensor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The U.S. government also has the right to take title to these inventions if the licensor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the products substantially in the United States or that under the circumstances domestic manufacture is not commercially feasible. To the extent any of our owned or licensed future intellectual property is also generated through the use of U.S. government funding, the provisions of the Bayh-Dole Act may similarly apply.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various funding or supply agreements with government or public sector entities in Canada (and anticipate entering in one or more future agreements) that impose requirements or restrictions on our intellectual property or our business operations more broadly, such as the following: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maintaining ownership in Canada of, and refraining from assigning or granting an exclusive license to, developed intellectual property;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60"/>
        <w:gridCol w:w="9888"/>
      </w:tblGrid>
      <w:tr>
        <w:trPr/>
        <w:tc>
          <w:tcPr>
            <w:tcW w:w="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888" w:type="dxa"/>
            <w:tcBorders/>
            <w:vAlign w:val="center"/>
          </w:tcPr>
          <w:p>
            <w:pPr>
              <w:pStyle w:val="TableContents"/>
              <w:bidi w:val="0"/>
              <w:spacing w:before="0" w:after="283"/>
              <w:jc w:val="both"/>
              <w:rPr/>
            </w:pPr>
            <w:r>
              <w:rPr/>
              <w:t>licensing developed intellectual property without receiving royalties;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07"/>
        <w:gridCol w:w="9952"/>
      </w:tblGrid>
      <w:tr>
        <w:trPr/>
        <w:tc>
          <w:tcPr>
            <w:tcW w:w="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w:t>
            </w:r>
          </w:p>
        </w:tc>
        <w:tc>
          <w:tcPr>
            <w:tcW w:w="9952" w:type="dxa"/>
            <w:tcBorders/>
            <w:vAlign w:val="center"/>
          </w:tcPr>
          <w:p>
            <w:pPr>
              <w:pStyle w:val="TableContents"/>
              <w:bidi w:val="0"/>
              <w:spacing w:before="0" w:after="283"/>
              <w:jc w:val="both"/>
              <w:rPr/>
            </w:pPr>
            <w:r>
              <w:rPr/>
              <w:t>licensing developed intellectual property without obtaining the counterparty’s consent;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licensing developed intellectual property and background information to the counterparty, including under certain circumstances to authorize commercial exploitation;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4"/>
        <w:gridCol w:w="9956"/>
      </w:tblGrid>
      <w:tr>
        <w:trPr/>
        <w:tc>
          <w:tcPr>
            <w:tcW w:w="4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w:t>
            </w:r>
          </w:p>
        </w:tc>
        <w:tc>
          <w:tcPr>
            <w:tcW w:w="9956" w:type="dxa"/>
            <w:tcBorders/>
            <w:vAlign w:val="center"/>
          </w:tcPr>
          <w:p>
            <w:pPr>
              <w:pStyle w:val="TableContents"/>
              <w:bidi w:val="0"/>
              <w:spacing w:before="0" w:after="283"/>
              <w:jc w:val="both"/>
              <w:rPr/>
            </w:pPr>
            <w:r>
              <w:rPr/>
              <w:t>transferring developed intellectual property to the counterparty in certain circumstances;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282"/>
        <w:gridCol w:w="9860"/>
      </w:tblGrid>
      <w:tr>
        <w:trPr/>
        <w:tc>
          <w:tcPr>
            <w:tcW w:w="6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283"/>
              <w:jc w:val="both"/>
              <w:rPr/>
            </w:pPr>
            <w:r>
              <w:rPr/>
              <w:t>meeting or exceeding minimum employment levels in Canada;</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260"/>
        <w:gridCol w:w="9887"/>
      </w:tblGrid>
      <w:tr>
        <w:trPr/>
        <w:tc>
          <w:tcPr>
            <w:tcW w:w="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887" w:type="dxa"/>
            <w:tcBorders/>
            <w:vAlign w:val="center"/>
          </w:tcPr>
          <w:p>
            <w:pPr>
              <w:pStyle w:val="TableContents"/>
              <w:bidi w:val="0"/>
              <w:spacing w:before="0" w:after="283"/>
              <w:jc w:val="both"/>
              <w:rPr/>
            </w:pPr>
            <w:r>
              <w:rPr/>
              <w:t>meeting or exceeding minimum R&amp;D expenditure levels in Canada;</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meeting or exceeding minimum annual collaborations with Canadian research institutes or post-secondary institutions in Canada;</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meeting or exceeding minimum annual collaborations with small and medium-sized Canadian-based enterprises;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21"/>
        <w:gridCol w:w="9813"/>
      </w:tblGrid>
      <w:tr>
        <w:trPr/>
        <w:tc>
          <w:tcPr>
            <w:tcW w:w="7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w:t>
            </w:r>
          </w:p>
        </w:tc>
        <w:tc>
          <w:tcPr>
            <w:tcW w:w="9813" w:type="dxa"/>
            <w:tcBorders/>
            <w:vAlign w:val="center"/>
          </w:tcPr>
          <w:p>
            <w:pPr>
              <w:pStyle w:val="TableContents"/>
              <w:bidi w:val="0"/>
              <w:spacing w:before="0" w:after="283"/>
              <w:jc w:val="both"/>
              <w:rPr/>
            </w:pPr>
            <w:r>
              <w:rPr/>
              <w:t>undergoing a change of control only with consent;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refraining from issuing dividends or other shareholder distributions that would prevent the Company from satisfying its obligations under the applicable agreement.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satisfy these requirements or comply with these restrictions may have a variety of adverse consequences, including one or more of the following: termination of existing agreements, suspension or termination of obligations of further payment, public notice disclosing event of default, financial penalties, repayment of past funding, disqualification for funding opportunities, or a bar on contracting with the Canadian government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Elements of our products use, or are developed using, open-source software and data, which could negatively affect our ability to offer and sell our solutions and subject us to possible 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incorporate, or are developed using, software, data and materials licensed under open-source and other open licenses, and we expect to continue to incorporate, or use for development, software and data licensed under open-source or other open licenses in the future. From time to time, companies that use third-party open-source software or open data have faced claims challenging the use of such open-source software or open data and requesting compliance with the open-source software or other open license terms. Accordingly, we may be subject to suits by parties claiming ownership of what we believe to be open-source software or open data, or claiming non-compliance with the applicable open-source or other open licensing terms. Some open-source software licenses require users who use, distribute or make available across a network software and services that include open-source software to offer aspects of the technology that incorporates the open-source software or open data for no cost. We may also be required to make publicly available source code (which in some circumstances could include valuable proprietary code) for modifications or derivative works we create based upon incorporating or using the open-source software or open data and/or to license such modifications or derivative works under the terms of the particular open-source or other open license. While we try to mitigate the likelihood of such risks, we may inadvertently use third-party open-source software or open data in a manner that exposes us to claims of non-compliance with the terms of their licenses, including claims of intellectual property rights infringement or for breach of contract. Furthermore, there exists today an increasing number of types of open-source software or other open licenses, almost none of which have been tested in courts of law to provide guidance of their proper legal interpretations. If we were to receive a claim of non-compliance with the terms of any of these open-source licenses, we could be required to publicly release certain portions of our proprietary source code or datasets. We could also be required to expend substantial time and resources to re-engineer some of our solutions. Any of the foregoing could disrupt and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regularly contributed source code under open-source licenses. Because the source code and data we contribute to open source projects or distribute under open source or source-available licenses is publicly available, our ability to protect our intellectual property rights with respect to such source code and data may be limited or lost entirely, and we may be limited in our ability to prevent our competitors or others from using such contributed source code. While we take steps to mitigate the risk that employees or contractors may submit proprietary source code that is not intended to be open-sourced to open-source projects, we cannot guarantee that such practices will be effective. In addition, the use of third-party open-source software or open data typically exposes us to greater risks than the use of third-party commercial software or data because open-source and open data licensors generally do not provide warranties or controls on the functionality or origin of the software or data. Use of open-source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that are similar to or better than 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employees and independent contractors may engage in misconduct or other improper activities, which could have a material adverse effect on our business, prospects, financial condition and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the risk that our employees and independent contractors may engage in misconduct or other illegal activity. Misconduct by these parties could include intentional, reckless or negligent conduct or other activities that violate laws and regulations, including production standards, fraud, abuse, data privacy and security laws, other similar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operating results,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subject to the risks of disasters, global pandemics, and interruptions by man-made problems, such as terrorism. Material disruptions of our business or information systems resulting from these events could materially and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natural disaster, such as an earthquake, fire, flood, hurricane or significant power outage or other similar events, such as infectious disease outbreaks or pandemic events (such as the outbreak of the COVID-19 pandemic), could materially and adversely affect our business, financial condition and results of operations. In addition, natural disasters, acts of terrorism or war, including the ongoing geopolitical tensions related to Russia’s actions in Ukraine and the conflicts in the Middle East, could cause disruptions in our remaining operations, our or our partners’ businesses, our suppliers’ or the economy as a whole. We also rely on information technology systems to communicate among our workforce and with third parties. Any disruption to our communications, whether caused by a natural disaster or by man-made problems, such as power disruptions, could adversely affect our business. To the extent that any such disruptions result in development or commercialization delays or impede our partners’ and suppliers’ ability to timely deliver product components, or the deployment of our products, this could materially and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not have adequate back-up systems, and natural or man-made disasters could damage our operations, reduce our revenue and lead to a loss of customers. We do not have redundant photonic systems for service at an alternate site. A disaster could severely harm our business because our research activities and services could be interrupted for an indeterminate length of time. Our operations depend upon our ability to maintain and protect our computer systems at our facility in Toronto, Ontario, Canada. Although these systems are designed to be resilient and durable, they are vulnerable to damage from fire, floods, snowstorms, earthquakes, power loss, acts of terrorism, telecommunications failures and similar events. In addition, our facilities in Toronto, Ontario, Canada could be subject to electrical blackouts if Ontario faces any power shortages. Although we do have a backup generator that would maintain critical operations, this generator could fail. Disruptions in our internal business operations could harm our business by resulting in delays, disruption of our customers’ business, loss of data, and loss of customer confidence.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effectively monitor and respond to the rapid and ongoing developments and expectations relating to environmental, social and governance (“ESG”) matters, including related social expectations and concerns, have imposed (and may continue to impose) unexpected costs and/or may result in reputational or other harm that could have a material adverse effect on our business, financial condition and results of operations and could cause the market value of our Class B Subordinate Voting Shares to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rapid and ongoing developments and changing expectations relating to ESG matters and factors such as the impact of our operations on climate change, water and waste management, our practices relating to sustainability and product stewardship, product safety, access to health care and affordable drugs, management of business ethics and human capital development, which may result in increased regulatory, social or other scrutiny on us. This scrutiny may be intensified as a result of the varying pro-ESG and anti-ESG views held by certain stakeholders. If we are unable to adequately recognize and respond to such developments and governmental, societal, investor and consumer expectations relating to such ESG matters, we may miss corporate opportunities, become subject to additional scrutiny, incur unexpected costs or experience damage to our reputation or our various brands. If any of these events were to occur, there may be a material adverse effect on our business, financial condition, cash flows and results of operations and the market value of our Class B Subordinate Voting Shares may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various indemnity agreements and indemnity arrangements in place, which may result in an obligation to indemnify or reimburse the relevant counterparty, which amounts may be material.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customary indemnification agreements with our directors and certain of our officers. We have also obtained directors’ and officers’ liability insurance to mitigate the cost of any potential future lawsuits or actions. The maximum amount of any potential future payment cannot be reasonably estimated but could have a material adverse effect on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we have entered or may enter into agreements that include indemnities in favor of third parties, such as purchase and sale agreements, license agreements, engagement letters with advisors and consultants and various product and service agreements. These indemnification arrangements may require us to compensate counterparties for losses incurred by the counterparties as a result of breaches in representations, covenants and warranties provided by us or as a result of litigation or other third-party claims or statutory sanctions that may be suffered by the counterparties as a consequence of the relevant transaction. In some instances, the terms of these indemnities are not explicitly defined. We, whenever possible, try to limit this potential liability within the particular agreement or contract (such as through maximum claim amounts, specified claim periods and other conditions and limits), but due to the unpredictability of future events the maximum amount of any potential reimbursement cannot be reasonably estimated, but could have a material adverse effect on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Risks Related to Ownership of our Shares and Our Operating as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market for our Class B Subordinate Voting Shares may not develop, which would adversely affect the liquidity and price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our Class B Subordinate Voting Shares may fluctuate significantly due to general market and economic conditions and forecasts, our general business condition and the release of our financial reports. An active trading market for our Class B Subordinate Voting Shares may never develop or, if developed, it may not be sustained. You may be unable to sell your securities unless a market can be established and sustained.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Class B Subordinate Voting Shares may be volatile, which could cause the value of your investment to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purchase our Class B Subordinate Voting Shares, you may not be able to resell those shares at or above the price you paid. The market price of our Class B Subordinate Voting Shares may be highly volatile and may fluctuate or decline significantly in response to numerous factors, some of which are beyond our control. The securities markets have experienced and continue to experience significant volatility. Market volatility, as well as general economic, market or political conditions, could reduce the market price of our Class B Subordinate Voting Shares regardless of our operating performance. Our operating results could be below the expectations of public market analysts and investors due to a number of potential factors, including: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272"/>
        <w:gridCol w:w="9873"/>
      </w:tblGrid>
      <w:tr>
        <w:trPr/>
        <w:tc>
          <w:tcPr>
            <w:tcW w:w="6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w:t>
            </w:r>
          </w:p>
        </w:tc>
        <w:tc>
          <w:tcPr>
            <w:tcW w:w="9873" w:type="dxa"/>
            <w:tcBorders/>
            <w:vAlign w:val="center"/>
          </w:tcPr>
          <w:p>
            <w:pPr>
              <w:pStyle w:val="TableContents"/>
              <w:bidi w:val="0"/>
              <w:spacing w:before="0" w:after="283"/>
              <w:jc w:val="both"/>
              <w:rPr/>
            </w:pPr>
            <w:r>
              <w:rPr/>
              <w:t>changes in the industries in which we and our customers operate;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4"/>
        <w:gridCol w:w="9919"/>
      </w:tblGrid>
      <w:tr>
        <w:trPr/>
        <w:tc>
          <w:tcPr>
            <w:tcW w:w="5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w:t>
            </w:r>
          </w:p>
        </w:tc>
        <w:tc>
          <w:tcPr>
            <w:tcW w:w="9919" w:type="dxa"/>
            <w:tcBorders/>
            <w:vAlign w:val="center"/>
          </w:tcPr>
          <w:p>
            <w:pPr>
              <w:pStyle w:val="TableContents"/>
              <w:bidi w:val="0"/>
              <w:spacing w:before="0" w:after="283"/>
              <w:jc w:val="both"/>
              <w:rPr/>
            </w:pPr>
            <w:r>
              <w:rPr/>
              <w:t>variations in quarterly operating results or dividends, if any, to shareholders;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325"/>
        <w:gridCol w:w="9808"/>
      </w:tblGrid>
      <w:tr>
        <w:trPr/>
        <w:tc>
          <w:tcPr>
            <w:tcW w:w="7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pPr>
            <w:r>
              <w:rPr/>
              <w:t>●</w:t>
            </w:r>
          </w:p>
        </w:tc>
        <w:tc>
          <w:tcPr>
            <w:tcW w:w="9808" w:type="dxa"/>
            <w:tcBorders/>
            <w:vAlign w:val="center"/>
          </w:tcPr>
          <w:p>
            <w:pPr>
              <w:pStyle w:val="TableContents"/>
              <w:bidi w:val="0"/>
              <w:spacing w:before="0" w:after="283"/>
              <w:jc w:val="both"/>
              <w:rPr/>
            </w:pPr>
            <w:r>
              <w:rPr/>
              <w:t>additions or departures of key management personnel;</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jc w:val="center"/>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3"/>
        <w:gridCol w:w="9896"/>
      </w:tblGrid>
      <w:tr>
        <w:trPr/>
        <w:tc>
          <w:tcPr>
            <w:tcW w:w="5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w:t>
            </w:r>
          </w:p>
        </w:tc>
        <w:tc>
          <w:tcPr>
            <w:tcW w:w="9896" w:type="dxa"/>
            <w:tcBorders/>
            <w:vAlign w:val="center"/>
          </w:tcPr>
          <w:p>
            <w:pPr>
              <w:pStyle w:val="TableContents"/>
              <w:bidi w:val="0"/>
              <w:spacing w:before="0" w:after="283"/>
              <w:jc w:val="both"/>
              <w:rPr/>
            </w:pPr>
            <w:r>
              <w:rPr/>
              <w:t>publication of research reports about the quantum computing industry;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rumors and market speculation involving Xanadu or other companies in our industry, which may include short seller reports;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426"/>
        <w:gridCol w:w="9684"/>
      </w:tblGrid>
      <w:tr>
        <w:trPr/>
        <w:tc>
          <w:tcPr>
            <w:tcW w:w="9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pPr>
            <w:r>
              <w:rPr/>
              <w:t>●</w:t>
            </w:r>
          </w:p>
        </w:tc>
        <w:tc>
          <w:tcPr>
            <w:tcW w:w="9684" w:type="dxa"/>
            <w:tcBorders/>
            <w:vAlign w:val="center"/>
          </w:tcPr>
          <w:p>
            <w:pPr>
              <w:pStyle w:val="TableContents"/>
              <w:bidi w:val="0"/>
              <w:spacing w:before="0" w:after="283"/>
              <w:jc w:val="both"/>
              <w:rPr/>
            </w:pPr>
            <w:r>
              <w:rPr/>
              <w:t>litigation and government investigations;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changes or proposed changes in laws or regulations or differing interpretations or enforcement of laws or regulations affecting our business;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08"/>
        <w:gridCol w:w="9951"/>
      </w:tblGrid>
      <w:tr>
        <w:trPr/>
        <w:tc>
          <w:tcPr>
            <w:tcW w:w="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w:t>
            </w:r>
          </w:p>
        </w:tc>
        <w:tc>
          <w:tcPr>
            <w:tcW w:w="9951" w:type="dxa"/>
            <w:tcBorders/>
            <w:vAlign w:val="center"/>
          </w:tcPr>
          <w:p>
            <w:pPr>
              <w:pStyle w:val="TableContents"/>
              <w:bidi w:val="0"/>
              <w:spacing w:before="0" w:after="283"/>
              <w:jc w:val="both"/>
              <w:rPr/>
            </w:pPr>
            <w:r>
              <w:rPr/>
              <w:t>adverse market reaction to any indebtedness incurred or securities issued in the future;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344"/>
        <w:gridCol w:w="9785"/>
      </w:tblGrid>
      <w:tr>
        <w:trPr/>
        <w:tc>
          <w:tcPr>
            <w:tcW w:w="7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pPr>
            <w:r>
              <w:rPr/>
              <w:t>●</w:t>
            </w:r>
          </w:p>
        </w:tc>
        <w:tc>
          <w:tcPr>
            <w:tcW w:w="9785" w:type="dxa"/>
            <w:tcBorders/>
            <w:vAlign w:val="center"/>
          </w:tcPr>
          <w:p>
            <w:pPr>
              <w:pStyle w:val="TableContents"/>
              <w:bidi w:val="0"/>
              <w:spacing w:before="0" w:after="283"/>
              <w:jc w:val="both"/>
              <w:rPr/>
            </w:pPr>
            <w:r>
              <w:rPr/>
              <w:t>changes in market valuations of similar companies;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announcements by competitors of significant contracts, acquisitions, dispositions, strategic partnerships, joint ventures, or capital commitments;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impact of any future bank failures, public health crises or geopolitical events such as tensions in and around Taiwan, Ukraine, the Middle East and other areas of the world;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impact of any of the foregoing on our management, employees, partners, customers, and operating results.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stock markets in general have experienced extreme volatility, which has sometimes been unrelated to the operating performance of the issuer. The trading price of our Class B Subordinate Voting Shares may be adversely affected by third parties trying to drive down or drive up the market price. Short sellers and others, some of whom post anonymously on social media, may be positioned to profit if our shares declines or otherwise exhibits volatility, and their activities can negatively affect our share price and increase the volatility of our share price. These broad market and industry factors may seriously harm the market price of our Class B Subordinate Voting Shares, regardless of our operating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periods of volatility in the overall market and the market price of a company’s securities, securities class action litigation has often been instituted against such company. Such litigation could result in substantial costs and a diversion of management’s attention and resources. See also the section titled “— </w:t>
      </w:r>
      <w:r>
        <w:rPr>
          <w:rFonts w:ascii="Times New Roman;Times;Serif" w:hAnsi="Times New Roman;Times;Serif"/>
          <w:b w:val="false"/>
          <w:i/>
          <w:caps w:val="false"/>
          <w:smallCaps w:val="false"/>
          <w:sz w:val="20"/>
        </w:rPr>
        <w:t>Risks Related to Compliance with Law, Government Regulation and Litigation — Our business is exposed to risks associated with litigation, investigations and regulatory proceedings.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operating and financial performance in any given period does not meet the guidance provided to the public, if so provided, or the expectations of investment analysts, the market price of our Class B Subordinate Voting Shares may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but will not be obligated to, provide public guidance on our expected operating and financial results for future periods. Any such guidance will consist of forward-looking statements under U.S. securities laws and forward-looking information under Canadian securities laws, subject to the risks and uncertainties and assumptions made by management described in this filing and any filing announcing the applicable guidance. Our actual results may not always be in line with or exceed any guidance it may provide, especially in times of economic uncertainty. Further, lengthy sales cycle may contribute to substantial fluctuations in our quarterly or annual operating results as significant sales can be delayed to subsequent periods. If, in the future, our operating or financial results for a particular period do not meet any guidance provided or the expectations of investment analysts, or if we reduce our guidance for future periods or withdraw our guidance, the market price of our Class B Subordinate Voting Shares may decline as well. There can be no assurance that we will continue to issue public guidance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financial results may vary significantly from quarter to quarter.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revenue and operating results to vary from quarter to quarter. We may incur significant operating expenses during the start-up and early stages of large contracts and may not be able to recognize corresponding revenue in that same quarter. We may also incur additional expenses when contracts are terminated or expire and are not renewed. We may also incur additional expenses when customers are newly acquired. Additionally, payments due to us from our customers may be delayed for a variety of reasons, and these delays could cause significant fluctuations from quarter to quarter.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factors that may cause our financial results to fluctuate from quarter to quarter include those addressed elsewhere in this “Risk Factors” section and the following factors, among others: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4"/>
        <w:gridCol w:w="9919"/>
      </w:tblGrid>
      <w:tr>
        <w:trPr/>
        <w:tc>
          <w:tcPr>
            <w:tcW w:w="5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w:t>
            </w:r>
          </w:p>
        </w:tc>
        <w:tc>
          <w:tcPr>
            <w:tcW w:w="9919" w:type="dxa"/>
            <w:tcBorders/>
            <w:vAlign w:val="center"/>
          </w:tcPr>
          <w:p>
            <w:pPr>
              <w:pStyle w:val="TableContents"/>
              <w:bidi w:val="0"/>
              <w:spacing w:before="0" w:after="283"/>
              <w:jc w:val="both"/>
              <w:rPr/>
            </w:pPr>
            <w:r>
              <w:rPr/>
              <w:t>the terms of customer contracts that affect the timing of revenue recognition;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269"/>
        <w:gridCol w:w="9877"/>
      </w:tblGrid>
      <w:tr>
        <w:trPr/>
        <w:tc>
          <w:tcPr>
            <w:tcW w:w="5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w:t>
            </w:r>
          </w:p>
        </w:tc>
        <w:tc>
          <w:tcPr>
            <w:tcW w:w="9877" w:type="dxa"/>
            <w:tcBorders/>
            <w:vAlign w:val="center"/>
          </w:tcPr>
          <w:p>
            <w:pPr>
              <w:pStyle w:val="TableContents"/>
              <w:bidi w:val="0"/>
              <w:spacing w:before="0" w:after="283"/>
              <w:jc w:val="both"/>
              <w:rPr/>
            </w:pPr>
            <w:r>
              <w:rPr/>
              <w:t>labor availability and costs for hourly and management personnel;</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18"/>
        <w:gridCol w:w="9816"/>
      </w:tblGrid>
      <w:tr>
        <w:trPr/>
        <w:tc>
          <w:tcPr>
            <w:tcW w:w="7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pPr>
            <w:r>
              <w:rPr/>
              <w:t>●</w:t>
            </w:r>
          </w:p>
        </w:tc>
        <w:tc>
          <w:tcPr>
            <w:tcW w:w="9816" w:type="dxa"/>
            <w:tcBorders/>
            <w:vAlign w:val="center"/>
          </w:tcPr>
          <w:p>
            <w:pPr>
              <w:pStyle w:val="TableContents"/>
              <w:bidi w:val="0"/>
              <w:spacing w:before="0" w:after="283"/>
              <w:jc w:val="both"/>
              <w:rPr/>
            </w:pPr>
            <w:r>
              <w:rPr/>
              <w:t>profitability of our products, especially in new markets;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2"/>
        <w:gridCol w:w="684"/>
        <w:gridCol w:w="9369"/>
      </w:tblGrid>
      <w:tr>
        <w:trPr/>
        <w:tc>
          <w:tcPr>
            <w:tcW w:w="15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pPr>
            <w:r>
              <w:rPr/>
              <w:t>●</w:t>
            </w:r>
          </w:p>
        </w:tc>
        <w:tc>
          <w:tcPr>
            <w:tcW w:w="9369" w:type="dxa"/>
            <w:tcBorders/>
            <w:vAlign w:val="center"/>
          </w:tcPr>
          <w:p>
            <w:pPr>
              <w:pStyle w:val="TableContents"/>
              <w:bidi w:val="0"/>
              <w:spacing w:before="0" w:after="283"/>
              <w:jc w:val="both"/>
              <w:rPr/>
            </w:pPr>
            <w:r>
              <w:rPr/>
              <w:t>changes in interest rates;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9"/>
        <w:gridCol w:w="535"/>
        <w:gridCol w:w="9551"/>
      </w:tblGrid>
      <w:tr>
        <w:trPr/>
        <w:tc>
          <w:tcPr>
            <w:tcW w:w="11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pPr>
            <w:r>
              <w:rPr/>
              <w:t>●</w:t>
            </w:r>
          </w:p>
        </w:tc>
        <w:tc>
          <w:tcPr>
            <w:tcW w:w="9551" w:type="dxa"/>
            <w:tcBorders/>
            <w:vAlign w:val="center"/>
          </w:tcPr>
          <w:p>
            <w:pPr>
              <w:pStyle w:val="TableContents"/>
              <w:bidi w:val="0"/>
              <w:spacing w:before="0" w:after="283"/>
              <w:jc w:val="both"/>
              <w:rPr/>
            </w:pPr>
            <w:r>
              <w:rPr/>
              <w:t>impairment of long-lived assets;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318"/>
        <w:gridCol w:w="9817"/>
      </w:tblGrid>
      <w:tr>
        <w:trPr/>
        <w:tc>
          <w:tcPr>
            <w:tcW w:w="7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pPr>
            <w:r>
              <w:rPr/>
              <w:t>●</w:t>
            </w:r>
          </w:p>
        </w:tc>
        <w:tc>
          <w:tcPr>
            <w:tcW w:w="9817" w:type="dxa"/>
            <w:tcBorders/>
            <w:vAlign w:val="center"/>
          </w:tcPr>
          <w:p>
            <w:pPr>
              <w:pStyle w:val="TableContents"/>
              <w:bidi w:val="0"/>
              <w:spacing w:before="0" w:after="283"/>
              <w:jc w:val="both"/>
              <w:rPr/>
            </w:pPr>
            <w:r>
              <w:rPr/>
              <w:t>macroeconomic conditions, both nationally and locally;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6"/>
        <w:gridCol w:w="9868"/>
      </w:tblGrid>
      <w:tr>
        <w:trPr/>
        <w:tc>
          <w:tcPr>
            <w:tcW w:w="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w:t>
            </w:r>
          </w:p>
        </w:tc>
        <w:tc>
          <w:tcPr>
            <w:tcW w:w="9868" w:type="dxa"/>
            <w:tcBorders/>
            <w:vAlign w:val="center"/>
          </w:tcPr>
          <w:p>
            <w:pPr>
              <w:pStyle w:val="TableContents"/>
              <w:bidi w:val="0"/>
              <w:spacing w:before="0" w:after="283"/>
              <w:jc w:val="both"/>
              <w:rPr/>
            </w:pPr>
            <w:r>
              <w:rPr/>
              <w:t>size and scope of our revenue arrangements with our customers;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410"/>
        <w:gridCol w:w="9704"/>
      </w:tblGrid>
      <w:tr>
        <w:trPr/>
        <w:tc>
          <w:tcPr>
            <w:tcW w:w="9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w:t>
            </w:r>
          </w:p>
        </w:tc>
        <w:tc>
          <w:tcPr>
            <w:tcW w:w="9704" w:type="dxa"/>
            <w:tcBorders/>
            <w:vAlign w:val="center"/>
          </w:tcPr>
          <w:p>
            <w:pPr>
              <w:pStyle w:val="TableContents"/>
              <w:bidi w:val="0"/>
              <w:spacing w:before="0" w:after="283"/>
              <w:jc w:val="both"/>
              <w:rPr/>
            </w:pPr>
            <w:r>
              <w:rPr/>
              <w:t>negative publicity relating to our products;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91"/>
        <w:gridCol w:w="9850"/>
      </w:tblGrid>
      <w:tr>
        <w:trPr/>
        <w:tc>
          <w:tcPr>
            <w:tcW w:w="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w:t>
            </w:r>
          </w:p>
        </w:tc>
        <w:tc>
          <w:tcPr>
            <w:tcW w:w="9850" w:type="dxa"/>
            <w:tcBorders/>
            <w:vAlign w:val="center"/>
          </w:tcPr>
          <w:p>
            <w:pPr>
              <w:pStyle w:val="TableContents"/>
              <w:bidi w:val="0"/>
              <w:spacing w:before="0" w:after="283"/>
              <w:jc w:val="both"/>
              <w:rPr/>
            </w:pPr>
            <w:r>
              <w:rPr/>
              <w:t>changes in customer preferences and competitive conditions;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44"/>
        <w:gridCol w:w="9907"/>
      </w:tblGrid>
      <w:tr>
        <w:trPr/>
        <w:tc>
          <w:tcPr>
            <w:tcW w:w="5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both"/>
              <w:rPr/>
            </w:pPr>
            <w:r>
              <w:rPr/>
              <w:t>the loss of strategic relationships or existing contracts with any customer;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1"/>
        <w:gridCol w:w="9984"/>
      </w:tblGrid>
      <w:tr>
        <w:trPr/>
        <w:tc>
          <w:tcPr>
            <w:tcW w:w="4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w:t>
            </w:r>
          </w:p>
        </w:tc>
        <w:tc>
          <w:tcPr>
            <w:tcW w:w="9984" w:type="dxa"/>
            <w:tcBorders/>
            <w:vAlign w:val="center"/>
          </w:tcPr>
          <w:p>
            <w:pPr>
              <w:pStyle w:val="TableContents"/>
              <w:bidi w:val="0"/>
              <w:spacing w:before="0" w:after="283"/>
              <w:jc w:val="both"/>
              <w:rPr/>
            </w:pPr>
            <w:r>
              <w:rPr/>
              <w:t>lengthy customer sales cycle, leading to difficulty in forecasting the timing of purchasing decisions;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2"/>
        <w:gridCol w:w="547"/>
        <w:gridCol w:w="9536"/>
      </w:tblGrid>
      <w:tr>
        <w:trPr/>
        <w:tc>
          <w:tcPr>
            <w:tcW w:w="12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pPr>
            <w:r>
              <w:rPr/>
              <w:t>●</w:t>
            </w:r>
          </w:p>
        </w:tc>
        <w:tc>
          <w:tcPr>
            <w:tcW w:w="9536" w:type="dxa"/>
            <w:tcBorders/>
            <w:vAlign w:val="center"/>
          </w:tcPr>
          <w:p>
            <w:pPr>
              <w:pStyle w:val="TableContents"/>
              <w:bidi w:val="0"/>
              <w:spacing w:before="0" w:after="283"/>
              <w:jc w:val="both"/>
              <w:rPr/>
            </w:pPr>
            <w:r>
              <w:rPr/>
              <w:t>expansion to new markets;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514"/>
        <w:gridCol w:w="9577"/>
      </w:tblGrid>
      <w:tr>
        <w:trPr/>
        <w:tc>
          <w:tcPr>
            <w:tcW w:w="1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pPr>
            <w:r>
              <w:rPr/>
              <w:t>●</w:t>
            </w:r>
          </w:p>
        </w:tc>
        <w:tc>
          <w:tcPr>
            <w:tcW w:w="9577" w:type="dxa"/>
            <w:tcBorders/>
            <w:vAlign w:val="center"/>
          </w:tcPr>
          <w:p>
            <w:pPr>
              <w:pStyle w:val="TableContents"/>
              <w:bidi w:val="0"/>
              <w:spacing w:before="0" w:after="283"/>
              <w:jc w:val="both"/>
              <w:rPr/>
            </w:pPr>
            <w:r>
              <w:rPr/>
              <w:t>fluctuations in commodity prices.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our Class B Subordinate Voting Shares may cause the market price of our securities to drop significantly, even if our business is doing well.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Class B Subordinate Voting Shares in the public market could occur. If our Shareholders sell, or the market perceives that our Shareholders intend to sell, substantial amounts of Class B Subordinate Voting Shares in the public market, the market price of our Class B Subordinate Voting Shares could decline significantly. Certain of our Shareholders are subject to lock-up arrangements that restrict trading for a period of time after completion of the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restrictions on resale end, the sale or possibility of sale of these shares could have the effect of increasing the volatility in our share price or the market price of our Class B Subordinate Voting Shares could decline if the holders of currently restricted shares sell them or are perceived by the market as intending to sell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Investor and Registration Rights Agreement obligates us to file one or more registration statements with the SEC for the registration for resale of certain securities held by the shareholders who are party to that agreement. If any of these additional Class B Subordinate Voting Shares are sold, or if it is perceived that they will be sold, in the public market, the market price of our Class B Subordinate Voting Shares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certain holders of options will have an immediate income inclusion for tax purposes when they exercise their options (that is, tax is not deferred until they sell the underlying Class B Subordinate Voting Shares). As a result, these holders may need to sell Class B Subordinate Voting Shares purchased on the exercise of options in the same year that they exercise their options. This might result in a greater number of Class B Subordinate Voting Shares being sold in the public market and reduce long-term holdings of Class B Subordinate Voting Shares by our management and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issuances of debt securities and equity or equity-linked securities may adversely affect the market price of our Class B Subordinate Voting Shares and may be dilutive to existing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incur debt or issue equity ranking senior to the Shares. Those securities will generally have priority upon liquidation. Such securities also may be governed by an indenture or other instrument containing covenants restricting our operating flexibility. Additionally, any convertible or exchangeable securities that we issue in the future may have rights, preferences and privileges more favorable than those of our Shares. Because our decision to issue debt or equity in the future will depend on market conditions and other factors beyond our control, we cannot predict or estimate the amount, timing, nature or success of our future capital raising efforts. As a result, future capital raising efforts may reduce the market price of our Class B Subordinate Voting Shares and be dilutive to existing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meet the continued listing requirements of Nasdaq or TSX could result in a delisting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satisfy the continued listing requirements of Nasdaq or TSX (such as Nasdaq’s’ requirements with respect to corporate governance or the minimum closing bid price), such exchanges may take steps to delist our securities. Such a delisting would likely have a negative effect on the price of the securities and would impair your ability to sell or purchase the securities when you wish to do so. In the event of a delisting, we can provide no assurance that any action taken by us to restore compliance with listing requirements would allow our securities to become listed again, stabilize the market price or improve the liquidity of our securities, prevent our securities from dropping below minimum bid price requirements or prevent future non-compliance with Nasdaq’s or TSX’s listing requirements. Additionally, if our securities are not listed on, or become delisted from Nasdaq or TSX for any reason, and are quoted on the OTC Bulletin Board, an inter-dealer automated quotation system for equity securities that is not a national securities exchange, the liquidity and price of our securities may be more limited than if we were quoted or listed on Nasdaq or TSX or another national securities exchange or marketplace. You may be unable to sell your securities unless a market can be established or sustained.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Short sellers may engage in manipulative activity intended to drive down the market price of our Class B Subordinate Voting Shares, which could also result in related regulatory and governmental scrutiny, among other effects.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selling is the practice of selling securities that the seller does not own but rather has borrowed or intends to borrow from a third party with the intention of later buying lower priced identical securities to return to the lender. Accordingly, it is in the interest of a short seller of our Class B Subordinate Voting Shares for the price to decline. At any time, short sellers may publish, or arrange for the publication of, opinions or characterizations that are intended to create negative market momentum. Issuers, like us, whose securities have historically had limited trading history or volumes and/or have been susceptible to relatively high volatility levels can be vulnerable to such short seller attacks. Short selling reports can cause increased volatility in an issuer’s share price, and result in regulatory and governmental inquiries. A short seller report about Xanadu could result in an inquiry or formal investigation from a governmental organization securities regulatory authority or other regulatory body, which could result in a material diversion of our management’s time and could have a material adverse effect on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Compliance obligations under the Sarbanes-Oxley Act may make it more difficult for us to operate our business, and require substantial financial and management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we were a Canadian private company that completed a merger transaction with a U.S. SPAC makes compliance with the requirements of the Sarbanes-Oxley Act particularly burdensome on us as compared to other public companies because Xanadu was not previously subject to Section 404 of the Sarbanes-Oxley Act. The standards required for a public company under Section 404 of the Sarbanes-Oxley Act and applicable Canadian securities law are significantly more stringent than those required of Xanadu as a privately held company. Management may not be able to effectively and timely implement controls and procedures that adequately respond to the increased regulatory compliance and reporting requirements that are applicable to us as a public company. If we are not able to implement the requirements of Section 404 of the Sarbanes-Oxley Act and applicable Canadian securities law, including any additional requirements once we are no longer an emerging growth company, to the extent applicable, in a timely manner or with adequate compliance, we may not be able to assess whether our internal controls over financial reporting are effective, which may subject us to adverse regulatory consequences and could harm investor confidence and the market price of our Class B Subordinate Voting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Xanadu’s business or publish negative reports about our business, the share price and trading volume of our Class B Subordinate Voting Shares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Class B Subordinate Voting Shares will depend on the research and reports that securities or industry analysts publish about us and our business. We do not have any analyst coverage and may not obtain analyst coverage in the future. In the event we obtain analyst coverage, it will not have any control over such analysts. The market price of our Class B Subordinate Voting Shares could decline if our actual results do not match the analysts’ projections. If one or more of the analysts who cover us downgrades our shares or changes their opinion of us, the price of our Class B Subordinate Voting Shares would likely decline. If one or more of these analysts cease coverage of us or fail to regularly publish reports on us, we could lose visibility in the financial markets, which could cause the price of our Class B Subordinate Voting Shares or trading volume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intend to pay cash dividends for the foreseeable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has never declared or paid cash dividends on its share capital, and it does not anticipate paying any cash dividends or making any distributions to shareholders in the foreseeable future. We currently intend to retain our future earnings, if any, to finance the further development and expansion of our business and do not intend to pay cash dividends or make distributions in the foreseeable future. Any future determination to pay dividends or make distributions will be made at the discretion of our Board, subject to applicable laws. It will depend on a number of factors, including our financial condition, results of operations, capital requirements, contractual, legal, tax and regulatory restrictions, general business conditions and other factors that our Board may deem relevant. In addition, the ability to pay cash dividends or make distributions may be restricted by the terms of debt financing arrangements, as any future debt financing arrangement likely will contain terms restricting or limiting the amount of dividends that may be declared or paid on our Shares or the making of distributions to holders of our Shares. As a result, shareholders may not receive any return on an investment in our Shares unless they sell their shares for a price greater than what they paid for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within the meaning of the Securities Act of 1933, as amended (the “Securities Act”), and to the extent we take advantage of certain exemptions from disclosure requirements available to emerging growth companies and permitted under applicable Canadian securities laws, this could make our Class B Subordinate Voting Shares less attractive to investors and may make it more difficult to compare our performance with other public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to the extent permitted under applicable Canadian securities laws, including, but not limited to, not being required to comply with the auditor attestation requirements of Section 404 of the Sarbanes-Oxley Act, and exemptions from the requirements of holding a nonbinding advisory vote on executive compensation and shareholder approval of any golden parachute payments not previously approved. As a result, Shareholders may not have access to certain information they may deem important.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whether investors will find our Shares less attractive because we will rely on these exemptions. If some investors find our Shares less attractive as a result of our reliance on these exemptions, the trading prices of our Class B Subordinate Voting Shares may be lower than they otherwise would be, there may be a less active trading market for our securities and the trading prices of our Class B Subordinate Voting Shares may be more volatile.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(defined below))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even if we no longer qualify as an emerging growth company, as long as we continue to qualify as a foreign private issuer under the Exchange Act, we will be exempt from certain provisions of the Exchange Act that are applicable to U.S. domestic public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“foreign private issuer” under the rules and regulations of the SEC, we are permitted to, and intend to, file less or different information with the SEC than a company incorporated in the United States or otherwise not filing as a “foreign private issuer,” and is permitted, and intends to, follow certain home country corporate governance practices in lieu of certain Nasdaq requirements applicable to U.S. issuers.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under the Exchange Act and therefore will be exempt from certain rules under the Exchange Act, including the proxy rules, which impose certain disclosure and procedural requirements for proxy solicitations for U.S. and other issuers. Moreover, we will not be required to file periodic reports and financial statements with the SEC as frequently or within the same timeframes as U.S. companies with securities registered under the Exchange Act, and will provide such reports and financial statements within the timeframes required by Canadian securities law. We will not be required to comply with Regulation Fair Disclosure, which imposes restrictions on the selective disclosure of material information; however, we will be required to comply with Canadian securities laws and TSX requirements governing the disclosure of material facts and material changes. Historically, Rule 3a12-3 under the Exchange Act exempted securities registered by a “foreign private issuer” from Section 16 of the Exchange Act. However, effective March 18, 2026, pursuant to the Holding Foreign Insiders Accountable Act, directors and officers of foreign private issuers are required to comply with the reporting requirements of Section 16(a) of the Exchange Act. Notwithstanding the foregoing, directors and officers of a “foreign private issuer” remain exempt from Section 16(b) (short-swing profit liability) and Section 16(c) (short sale prohibitions). Additionally, our reporting insiders will be required to comply with Canadian securities law insider reporting requirements. Accordingly, Shareholders may receive less or different information about us than they would receive about a U.S. domestic public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a “foreign private issuer” whose shares are listed on Nasdaq, we are permitted, subject to certain exceptions, to follow certain home country rules in lieu of certain Nasdaq listing requirements. A foreign private issuer must disclose in its annual reports filed with the SEC each Nasdaq requirement with which it does not comply, followed by a description of its applicable home country practice. We will have the option to rely on available exemptions under the Nasdaq and TSX listing rules that would allow it to follow its home country practice, including, among other things, the ability to opt out of (i) the requirement that the Board be comprised of a majority independent directors, (ii) the requirement that our independent directors meet regularly in executive sessions and (iii) the requirement that we obtain shareholder approval prior to the issuance of securities in connection with certain acquisitions, private placements of securities, or the establishment or amendment of certain share option, purchase or other compensation plans. We are required to comply with TSX rules which require, among other things, that (i) the Board be comprised of at least two independent directors, and (ii) we obtain shareholder approval prior to the issuance of securities in connection with certain acquisitions, private placements of securities, or the establishment or amendment of certain share option, purchase or other compensation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lose our foreign private issuer status in the future, which could result in significant additional costs and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lose our status as a “foreign private issuer” under current SEC rules and regulations if more than 50% of our outstanding voting securities become directly or indirectly held of record by U.S. holders and any one of the following is true: (i) the majority of our directors or executive officers are U.S. citizens or residents; (ii) more than 50% of our assets are located in the United States; or (iii) our business is administered principally in the United States. If we lose our status as a foreign private issuer in the future, we will no longer be exempt from the rules described above and, among other things, will be required to file periodic reports and annual and quarterly financial statements as if we were a company incorporated in the United States. If this were to happen, we would likely incur substantial costs in fulfilling these additional regulatory requirements and members of our management would likely have to divert time and resources from other responsibilities to ensuring these additional regulatory requirements are fulfilled.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share ownership is highly concentrated which reduces the public “float” and may have a depressive effect on the market price of our Class B Subordinate Voting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 ownership is highly concentrated. Following completion of the Business Combination, our public “float” is reduced. Additionally, many of our Class B Subordinate Voting Shares are subject to restrictions on trading (pursuant to contractual lockups and applicable securities laws). This may have a depressive and volatile effect on the market price of our Class B Subordinate Voting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issue additional Shares in the future, which would increase the number of shares eligible for future resale in the public market and result in dilution to our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our additional capital needs, we will issue additional Shares or other equity securities of equal or senior rank in the future in connection with, among other things, capital-raising initiatives, future investments and acquisitions, or repayment of outstanding indebtedness, in most cases without shareholder approval.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our equity incentive plan, we expect to issue additional Shares, or securities exercisable for Shares. Once shares are issued pursuant to our equity incentive plan, those shares will become eligible for sale in the public market, subject to any applicable vesting requirements, lockup agreements and other restrictions imposed by law. Shares representing 15% of our Shares issued and outstanding from time to time are expected to be reserved for future issuance under our equity incentive plan. We expect to file one or more registration statements on Form S-8 under the Securities Act to register the Shares or securities convertible into or exchangeable for our Shares pursuant to our equity incentive plan. Any such Form S-8 registration statements will automatically become effective upon filing. Accordingly, shares registered under such registration statements will be available for sale in the open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additional shares or other equity securities of equal or senior rank would have the following effects: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57"/>
        <w:gridCol w:w="9891"/>
      </w:tblGrid>
      <w:tr>
        <w:trPr/>
        <w:tc>
          <w:tcPr>
            <w:tcW w:w="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w:t>
            </w:r>
          </w:p>
        </w:tc>
        <w:tc>
          <w:tcPr>
            <w:tcW w:w="9891" w:type="dxa"/>
            <w:tcBorders/>
            <w:vAlign w:val="center"/>
          </w:tcPr>
          <w:p>
            <w:pPr>
              <w:pStyle w:val="TableContents"/>
              <w:bidi w:val="0"/>
              <w:spacing w:before="0" w:after="283"/>
              <w:jc w:val="both"/>
              <w:rPr/>
            </w:pPr>
            <w:r>
              <w:rPr/>
              <w:t>existing shareholders’ proportionate ownership interest will decrease;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43"/>
        <w:gridCol w:w="9908"/>
      </w:tblGrid>
      <w:tr>
        <w:trPr/>
        <w:tc>
          <w:tcPr>
            <w:tcW w:w="5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w:t>
            </w:r>
          </w:p>
        </w:tc>
        <w:tc>
          <w:tcPr>
            <w:tcW w:w="9908" w:type="dxa"/>
            <w:tcBorders/>
            <w:vAlign w:val="center"/>
          </w:tcPr>
          <w:p>
            <w:pPr>
              <w:pStyle w:val="TableContents"/>
              <w:bidi w:val="0"/>
              <w:spacing w:before="0" w:after="283"/>
              <w:jc w:val="both"/>
              <w:rPr/>
            </w:pPr>
            <w:r>
              <w:rPr/>
              <w:t>the number of shares eligible for resale in the public market will increase;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amount of cash available per share, including for payment of any dividends in the future, may decrease;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2"/>
        <w:gridCol w:w="9983"/>
      </w:tblGrid>
      <w:tr>
        <w:trPr/>
        <w:tc>
          <w:tcPr>
            <w:tcW w:w="4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w:t>
            </w:r>
          </w:p>
        </w:tc>
        <w:tc>
          <w:tcPr>
            <w:tcW w:w="9983" w:type="dxa"/>
            <w:tcBorders/>
            <w:vAlign w:val="center"/>
          </w:tcPr>
          <w:p>
            <w:pPr>
              <w:pStyle w:val="TableContents"/>
              <w:bidi w:val="0"/>
              <w:spacing w:before="0" w:after="283"/>
              <w:jc w:val="both"/>
              <w:rPr/>
            </w:pPr>
            <w:r>
              <w:rPr/>
              <w:t>the relative voting strength of each share of previously outstanding Shares may be diminished;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46"/>
        <w:gridCol w:w="9905"/>
      </w:tblGrid>
      <w:tr>
        <w:trPr/>
        <w:tc>
          <w:tcPr>
            <w:tcW w:w="5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283"/>
              <w:jc w:val="both"/>
              <w:rPr/>
            </w:pPr>
            <w:r>
              <w:rPr/>
              <w:t>the market price of our Class B Subordinate Voting Shares may decline.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and will continue to incur increased costs as a result of operating as a public company, which may adversely affect our business, prospects,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face increased legal, accounting, administrative and other costs and expenses as a public company that Old Xanadu did not incur as a private company. Applicable Canadian securities laws, the Exchange Act, Sarbanes-Oxley Act, including the requirements of Section 404, as well as rules and regulations subsequently implemented by the SEC, the Dodd-Frank Wall Street Reform and Consumer Protection Act of 2010 and the rules and regulations promulgated and to be promulgated thereunder, as well as the Public Company Accounting Oversight Board and the stock exchanges, impose additional reporting and other obligations on public companies. Compliance with public company requirements will increase costs and make certain activities more time-consuming. A number of those requirements will require us to undertake activities it has not done previously. For example, we have created a new board committees and adopted new internal controls and disclosure controls and procedures. In addition, expenses associated with Canadian securities law and SEC reporting requirements have been and will continue to be incurred. Furthermore, if any issues in complying with those requirements are identified (for example, if the auditors identify a material weakness or significant deficiency in the internal control over financial reporting), we may incur additional costs to rectify those issues, and the existence of those issues may adversely affect our reputation or investor perceptions of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associated with our status as a public company may make it more difficult to attract and retain qualified persons to serve on our board of directors or as executive officers. For example, the rules and regulations governing public companies will likely make it more difficult and more expensive for us to obtain director and officer liability insurance, and it may be required to accept reduced policy limits and coverage or incur substantially higher costs to obtain the same or similar coverage. As a result, it may be difficult for us to attract and retain qualified people to serve on our board of directors, board committees or as executive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additional reporting and other obligations imposed by these rules and regulations increase legal and financial compliance costs and the costs of related legal, accounting and administrative activities. To the extent necessary to supplement our internal personnel with professional advisors, such costs may be significantly increased. These increased costs will require us to divert a significant amount of money that may otherwise be used to expand Xanadu’s business and achieve strategic objectives. Advocacy efforts by shareholders and third parties may also prompt additional changes in governance and reporting requirements, resulting in further increased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some of our executive officers have limited or no experience in the management of a publicly traded company. As a public company, we are subject to significant regulatory oversight and reporting obligations under federal securities laws, and certain executives’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our Company. Additionally, we may not have adequate personnel with the appropriate level of knowledge, experience and training in the accounting policies, practices or internal controls over financial reporting required of public companies in the United States and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by-laws designate specific courts in Canada and the federal district courts of the United States as the exclusive forum for certain litigation that may be initiated by our Shareholders, which could limit Shareholders’ ability to obtain a favorable judicial forum for disputes with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by-laws, unless we consent in writing to the selection of an alternative forum, the courts of the Province of Ontario and the appellate courts therefrom shall, to the fullest extent permitted by law, be the sole and exclusive forum for: (i) any derivative action or proceeding brought on our behalf; (ii) any action or proceeding asserting a claim of breach of fiduciary duty owed by any director, officer or other employee of Xanadu to us; (iii) any action or proceeding asserting a claim arising out of any provision of the OBCA or our articles or by-laws (as either may be amended from time to time); or (iv) any action or proceeding asserting a claim or otherwise related to our affairs. Additionally, our by-laws further provide that unless we consent in writing to the selection of an alternative forum, and without limiting the generality of the foregoing sentence, the federal district courts of the United States of America shall be the sole and the exclusive forum for resolving any complaint filed in the United States asserting a cause of action arising under the Securities Act or the Exchange Act. In addition, our by-laws provide that any person or entity purchasing or otherwise acquiring any interest in our Shares is deemed to have notice of and consented to the by-laws forum selection provision.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forum selection provisions may impose additional litigation costs on shareholders in pursuing any such claims. Additionally, the forum selection clauses may limit Shareholders’ ability to bring a claim in a judicial forum that they find favorable for disputes with us or our directors, officers or employees, which may discourage the filing of lawsuits against us and out directors, officers and employees, even though an action, if successful, might benefit Shareholders. In the event a court finds either exclusive forum provision contained in our by-laws to be unenforceable or inapplicable in an action, we may incur additional costs associated with resolving such action in other jurisdictions, which could harm our business, operating results and financial condition. The courts of the Province of Ontario and appellate courts therefrom and the federal district courts of the United States may also reach different judgments or results than would other courts, including courts where a shareholder considering an action may be located or would otherwise choose to bring the action, and such judgments may be more or less favorable to us than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may be difficult to enforce civil liabilities in Canada under U.S. securities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is incorporated in the Province of Ontario, Canada, and our corporate headquarters are located in Toronto, Ontario, Canada. A majority of our executive officers and certain of our directors and the experts named herein reside principally in Canada and the majority of our assets and all or a substantial portion of the assets of these persons is located outside the United States. It may be difficult for investors who reside in the United States to effect service of process upon these persons in the United States, or to enforce a U.S. court judgment predicated upon the civil liability provisions of the U.S. federal securities laws against us or any of these persons. There is substantial doubt whether an action could be brought in Canada in the first instance predicated solely upon U.S. federal securities laws. Canadian courts may refuse to hear a claim based on an alleged violation of U.S. securities laws against us or these persons on the grounds that Canada is not the most appropriate forum in which to bring such a claim. Even if a Canadian court agrees to hear a claim, it may determine that Canadian law and not U.S. law is applicable to the claim. If U.S. law is found to be applicable, the content of applicable U.S. law must be proved as a fact, which can be a time-consuming and costly process. Certain matters of procedure will also be governed by Canadian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articles and by-laws, and Ontario and Canadian laws and regulations applicable to us may adversely affect our ability to take actions that could be deemed beneficial to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Ontario company, we are subject to different corporate requirements than a corporation organized under the laws of the United States. Our articles and by-laws as well as the OBCA, set forth various rights and obligations that are unique to us as a Canadian company. These requirements may limit or otherwise adversely affect our ability to take actions that could be beneficial to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the laws of the Province of Ontario and the federal laws of Canada may also have the effect of delaying or preventing a change of control or changes in our management. For example, the OBCA includes provisions that require any shareholder proposal that includes nominations for the election of directors to be signed by one or more holders of shares representing in the aggregate not less than 5% of the shares or 5% of the shares of a class of shares of the corporation entitled to vote at the meeting to which the proposal is to be presented. Additionally, for material corporate transactions (such as mergers and amalgamations, other extraordinary corporate transactions or amendments to our articles) the OBCA generally requires approval by 66 2/3% of the votes cast by shareholders who voted, or as set out in the articles, as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val="false"/>
          <w:i/>
          <w:caps w:val="false"/>
          <w:smallCaps w:val="false"/>
          <w:sz w:val="20"/>
        </w:rPr>
        <w:t>Investment Canada Act</w:t>
      </w:r>
      <w:r>
        <w:rPr>
          <w:rFonts w:ascii="Times New Roman;Times;Serif" w:hAnsi="Times New Roman;Times;Serif"/>
          <w:b w:val="false"/>
          <w:i w:val="false"/>
          <w:caps w:val="false"/>
          <w:smallCaps w:val="false"/>
          <w:sz w:val="20"/>
        </w:rPr>
        <w:t xml:space="preserve"> requires that a non-Canadian must file an application for review with the Minister responsible for the </w:t>
      </w:r>
      <w:r>
        <w:rPr>
          <w:rFonts w:ascii="Times New Roman;Times;Serif" w:hAnsi="Times New Roman;Times;Serif"/>
          <w:b w:val="false"/>
          <w:i/>
          <w:caps w:val="false"/>
          <w:smallCaps w:val="false"/>
          <w:sz w:val="20"/>
        </w:rPr>
        <w:t>Investment Canada Act</w:t>
      </w:r>
      <w:r>
        <w:rPr>
          <w:rFonts w:ascii="Times New Roman;Times;Serif" w:hAnsi="Times New Roman;Times;Serif"/>
          <w:b w:val="false"/>
          <w:i w:val="false"/>
          <w:caps w:val="false"/>
          <w:smallCaps w:val="false"/>
          <w:sz w:val="20"/>
        </w:rPr>
        <w:t xml:space="preserve"> and obtain approval of the Minister prior to acquiring control of a “Canadian business” within the meaning of the </w:t>
      </w:r>
      <w:r>
        <w:rPr>
          <w:rFonts w:ascii="Times New Roman;Times;Serif" w:hAnsi="Times New Roman;Times;Serif"/>
          <w:b w:val="false"/>
          <w:i/>
          <w:caps w:val="false"/>
          <w:smallCaps w:val="false"/>
          <w:sz w:val="20"/>
        </w:rPr>
        <w:t>Investment Canada Act</w:t>
      </w:r>
      <w:r>
        <w:rPr>
          <w:rFonts w:ascii="Times New Roman;Times;Serif" w:hAnsi="Times New Roman;Times;Serif"/>
          <w:b w:val="false"/>
          <w:i w:val="false"/>
          <w:caps w:val="false"/>
          <w:smallCaps w:val="false"/>
          <w:sz w:val="20"/>
        </w:rPr>
        <w:t xml:space="preserve">, where prescribed financial thresholds are exceeded. As a “Canadian business,” an acquisition of control of Xanadu by a non-Canadian would be subject to a suspensory review if these thresholds are exceeded. Furthermore, limitations on the ability to acquire and hold our Shares may be imposed by the </w:t>
      </w:r>
      <w:r>
        <w:rPr>
          <w:rFonts w:ascii="Times New Roman;Times;Serif" w:hAnsi="Times New Roman;Times;Serif"/>
          <w:b w:val="false"/>
          <w:i/>
          <w:caps w:val="false"/>
          <w:smallCaps w:val="false"/>
          <w:sz w:val="20"/>
        </w:rPr>
        <w:t>Competition Act</w:t>
      </w:r>
      <w:r>
        <w:rPr>
          <w:rFonts w:ascii="Times New Roman;Times;Serif" w:hAnsi="Times New Roman;Times;Serif"/>
          <w:b w:val="false"/>
          <w:i w:val="false"/>
          <w:caps w:val="false"/>
          <w:smallCaps w:val="false"/>
          <w:sz w:val="20"/>
        </w:rPr>
        <w:t xml:space="preserve"> (Canada). This legislation permits the Commissioner of Competition appointed under the </w:t>
      </w:r>
      <w:r>
        <w:rPr>
          <w:rFonts w:ascii="Times New Roman;Times;Serif" w:hAnsi="Times New Roman;Times;Serif"/>
          <w:b w:val="false"/>
          <w:i/>
          <w:caps w:val="false"/>
          <w:smallCaps w:val="false"/>
          <w:sz w:val="20"/>
        </w:rPr>
        <w:t>Competition Act</w:t>
      </w:r>
      <w:r>
        <w:rPr>
          <w:rFonts w:ascii="Times New Roman;Times;Serif" w:hAnsi="Times New Roman;Times;Serif"/>
          <w:b w:val="false"/>
          <w:i w:val="false"/>
          <w:caps w:val="false"/>
          <w:smallCaps w:val="false"/>
          <w:sz w:val="20"/>
        </w:rPr>
        <w:t xml:space="preserve"> to review any acquisition or establishment, directly or indirectly, including through the acquisition of shares, of control over or of a significant interest in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 our articles, we are permitted to issue an unlimited number of Class B Subordinate Voting Shares without additional shareholder approval, which would result in immediate dilution to existing Shareholders and may have an adverse effect on the value of their shareholdings.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permit us to issue an unlimited number of Class B Subordinate Voting Shares, Class A Multiple Voting Shares and Preferred Shares. We may, from time to time, issue additional Class B Subordinate Voting Shares, Class A Multiple Voting Shares and Preferred Shares in the future. Subject to the requirements of the Nasdaq and the TSX, we will not be required to obtain the approval of shareholders for future issuances of Class B Subordinate Voting Shares, Class A Multiple Voting Shares or Preferred Shares. Any further issuances of Class B Subordinate Voting Shares, Class A Multiple Voting Shares or Preferred Shares which may be convertible into Shares will result in immediate dilution to existing shareholders and may have a material adverse effect on the value of their shareholdings.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characterized as a passive foreign investment company for U.S. federal income tax purposes, U.S. Holders may suffer adverse tax consequences.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or become a “passive foreign investment company” (“PFIC”), within the meaning of Section 1297 of the Code for any taxable year (or portion thereof) during which a U.S. Holder (as defined in “Material U.S. Federal Income Tax Considerations for U.S. Holders”) holds our Shares, certain adverse U.S. federal income tax consequences may apply to such U.S. Holder and such U.S. Holder might be subject to additional reporting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U.S. federal income tax purposes, we will be a PFIC for any taxable year in which (i) 75% or more of our gross income consists of passive income or (ii) 50% or more of the value of our assets (determined on the basis of a weighted quarterly average) consists of assets that produce, or are held for the production of, passive income (including cash). For purposes of these tests, passive income includes dividends, interest, gains from the sale or exchange of investment property and certain rents and royalties. For purposes of the above calculations, a non-U.S. corporation that directly or indirectly owns at least 25% by value of the shares of another corporation is treated as holding and receiving directly its proportionate share of assets and income of such corporation.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an analysis of our income and assets, including the value of our goodwill, we do not believe that we were a PFIC for the taxable year ended December 31, 2025. There can be no assurances that we will not be treated as a PFIC for any taxable year. The determination of whether we are a PFIC is a fact-intensive determination made on an annual basis and the applicable law is subject to varying interpretation. In particular, the characterization of our assets as active or passive may depend in part on our current and intended future business plans, which are subject to change. In addition, for our current and future taxable years, the total value of our assets for PFIC testing purposes may be determined in part by reference to the market price of our ordinary shares from time to time, which may fluctuate considerably. Under the income test, our status as a PFIC depends on the composition of our income which will depend on a variety of factors that are subject to uncertainty, including the characterization of transactions we enter into in the future and our corporate structure. Even if we determine that we are not a PFIC for a taxable year, there can be no assurance that the IRS will agree with our conclusion and that the IRS would not successfully challenge our position. Accordingly, our U.S. counsel expresses no opinion with respect to our PFIC status for any prior, current or future taxable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classified as a PFIC for any taxable year during which a U.S. Holder hold our Shares, such U.S. Holder could be subject to adverse U.S. federal income tax consequences (regardless of whether we continue to be a PFIC), including increased tax liability on disposition gains and certain “excess distributions” and additional reporting requirements. For more information, see the section titled “Material U.S. Federal Income Tax Considerations for U.S. Holders—Passive Foreign Investment Company Considerations.” U.S. Holders are urged to consult their tax advisors regarding our PFIC status for any taxable year and the possible application of the PFIC rules to an investment in our Shares, including the availability and the advisability of making certain election under the PFIC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Unanticipated changes in effective tax rates or adverse outcomes resulting from examination of our income or other tax returns could adversely affect our operating results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taxation in Canada, the United States, and other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results of operations. In addition, the authorities in several jurisdictions could review our tax returns and impose additional tax, interest and penalties, which could have a material adverse effect on us and our results of operations. We have previously participated in government programs with the Canadian federal government and Canadian provincial governments that provided refundable and non-refundable investment tax credits based upon qualifying research and development expenditures. If Canadian taxation authorities successfully challenge such expenses or the correctness of such income tax credits claimed, our historical operating results could be adversely affected. As a public company, we will no longer be eligible for refundable tax credits under the SR&amp;ED program. However, we are still eligible for non-refundable SR&amp;ED credits under this program, which are eligible to reduce future income taxes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dual class share structure will concentrate voting control and the ability to influence corporate matters with holders of Class A Multiple Voting Shares, including directors and officers of Old Xanadu, certain existing Xanadu shareholders and their affiliates.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Multiple Voting Shares have 10 votes per share and Class B Subordinate Voting Shares have one vote per share. Shareholders who hold Class A Multiple Voting Shares, including our executive officers, directors, employees and their affiliates, together hold approximately 98% (with directors and officers together holding approximately 18 %) of the voting power of our outstanding voting shares, and will therefore have significant influence over our management and affairs and over all matters requiring shareholder approval, including the election of directors and significant corporate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because of the ten-to-one voting ratio between Class A Multiple Voting Shares and Class B Subordinate Voting Shares, the holders of our Class A Multiple Voting Shares, collectively, will continue to control a majority of the combined voting power of voting shares, even where Class A Multiple Voting Shares represent a substantially reduced percentage of total outstanding shares. The concentrated voting control of holders of Class A Multiple Voting Shares will limit the ability of holders of Class B Subordinate Voting Shares to influence corporate matters for the foreseeable future, including the election of directors as well as decisions regarding amendments to our share capital, creating and issuing additional classes of shares, making significant acquisitions, selling significant assets or parts of our business, merging with other companies and undertaking other significant transactions. As a result, holders of Class A Multiple Voting Shares, including directors and officers of Xanadu, will have the ability to influence many matters affecting us to a much greater degree than us, and actions may be taken that holders of Class B Subordinate Voting Shares may not view as beneficial. The market price of our Class B Subordinate Voting Shares could be adversely affected due to the significant influence and voting power of the holders of our Class A Multiple Voting Shares. Additionally, the significant voting interest of holders of our Class A Multiple Voting Shares may discourage transactions involving a change of control, including transactions in which an investor, as a holder of our Class B Subordinate Voting Shares, might otherwise receive a premium for our Class B Subordinate Voting Shares over the then-current market price, or discourage competing proposals if a going-private transaction is proposed by one or more holders of our Class A Multiple Voting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transfers by holders of Class A Multiple Voting Shares will generally result in the automatic conversion of such shares into Class B Subordinate Voting Shares, which will have the effect, over time, of increasing the relative voting power of those holders of Class A Multiple Voting Shares who retain their shares. If, for example, our Chief Executive Officer, Christian Weedbrook, who holds approximately 18% of the voting power of outstanding Shares, retains a significant portion of his holdings of Class A Multiple Voting Shares for an extended period of time, he could, in the future, control a significant percentage of the combined voting power of Class B Subordinate Voting Shares and Class A Multiple Voting Shares. In addition, holders of greater than 5% of Shares, as a group, beneficially hold a significant percentage of the voting power of outstanding Shares following the Closing. If these holders retain a significant portion of their holdings of Class A Multiple Voting Shares for an extended period of time, they could, in the future, control a significant percentage of the combined voting power of Class B Subordinate Voting Shares and Class A Multiple Voting Shares. As a result, these holders of greater than 5% of Shares have the ability to influence control over matters submitted to Shareholders for approval. While each of our directors and officers owes a fiduciary duty to Xanadu and must act honestly and in good faith with a view to the best interests of Xanadu, any director and/or officer that is a shareholder, even a controlling shareholder, is entitled to vote his or her shares in his or her own interests, which may not always be in the interests of our shareholders generally.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dual-class structure may render our Class B Subordinate Voting Shares ineligible for inclusion in certain stock market indices, and thus adversely affect the trading price and liquidity of our Class B Subordinate Voting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whether our dual-class structure will result in a lower or more volatile market price of our Class B Subordinate Voting Shares, in negative publicity or other adverse consequences. Certain index providers have, from time to time, imposed or modified eligibility restrictions on companies with multi-class share structures. From April 2017 to April 2023, the S&amp;P Dow Jones Indices excluded companies with multiple classes of shares from the S&amp;P 500, S&amp;P MidCap 400 and S&amp;P SmallCap 600 (which together comprise the S&amp;P Composite 1500).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S&amp;P Dow Jones Indices do not currently prohibit the inclusion of dual-class issuers, index providers and institutional investors may nonetheless view multi-class structures unfavorably, and future policy changes could limit our eligibility for inclusion in major indices. As a result, our dual-class structure may prevent the inclusion of our Class B Subordinate Voting Shares in such indices, and mutual funds, exchange-traded funds and other investment vehicles that attempt to passively track these indices will not be able to invest in Class B Subordinate Voting Shares, each of which could adversely affect the trading price and liquidity of Class B Subordinate Voting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several shareholder advisory firms have announced their opposition to the use of multiple class structure and our dual-class structure may cause shareholder advisory firms to publish negative commentary about our corporate governance, in which case the market price and liquidity of Class B Subordinate Voting Shares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Macroeconomic Risks Relating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Uncertain global macroeconomic and political conditions could materially adversely affect our business prospects, financial condition, results of operations and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could be materially affected by economic and political conditions in the United States and internationally, including inflation, deflation, interest rates, availability of capital, energy and commodity prices, trade laws and the effects of governmental initiatives to manage economic conditions. Potential customers may delay or decrease spending as their business and budgets are impacted by economic conditions. The inability of potential customers to pay us for our services may adversely affect our earnings and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ongoing military conflict in Ukraine and the Middle East and the resulting applicable sanctions and related countermeasures by North Atlantic Treaty Organization members, the United States and other countries have led to, and are likely to lead to additional, market disruptions, including significant volatility in commodity prices, credit, and capital markets, as well as supply chain interruptions for equipment, which could have an adverse impact on our operations and financial performance. Global supply chain disruptions have increasingly affected both the availability and cost of materials, component manufacturing and deliveries. Disruptions such as military conflicts, sanctions, and other countermeasures between nations, as well as any escalation in tension between nations, may result in delays in equipment deliveries and cost escalations that could adversely affect our business prospects, financial condition,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deployment cost estimates are highly sensitive to a range of economic factors, and our ability to control or manage our costs may be limited.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and operating costs for the foreseeable future are difficult to project, inherently variable and are subject to significant change based on a variety of factors including regulatory oversight, operating agreements, supply chain availability, inflation and other factors. Opportunities for cost reductions in quantum cores, logical qubits and other quantum computing technology and related software solutions and applications are similarly uncertain. While we believe our cost estimates are reasonable, they may increase significantly through design maturity, when accounting for supply chain availability or as a result of other factors. To the extent cost reductions in these areas are not achieved within the expected timeframe or magnitude, our products may not be cost competitive with alternative technologies, which may have a material adverse effect on our business prospects, financial condition, results of operations and cash flows and could harm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occurrence of adverse events, cancellations of significant projects, delays in project timelines, adjustments in cost structures, and other negative developments announced by competitors could have an impact on our operations, financial performance, and future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newsworthy events in the quantum computing industry as a whole, including, but not limited to, the delay of major projects, inflated cost adjustments, fluctuations in product pricing strategies, cancellations of public offerings, customer withdrawals, or disruptions in the supply chain may adversely affect our business in several ways, including: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Negative news or events associated with industry peers may lead to decreased investor confidence in the sector, which could impact the broader stock market performance of companies operating within the industry, including Xanadu. This could result in fluctuations or declines in our share price irrespective of our internal performance.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Adverse events involving our competitors may alter the competitive landscape, affecting market share dynamics, pricing strategies, and overall positioning within the industry. This could impact our ability to retain or expand our market presence.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Changes in market dynamics influenced by competitors’ actions, such as inflated cost adjustments or potential cancellations, could have ripple effects on our financial stability and profitability, influencing our financial metrics and potentially impacting investor perceptions.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implement risk mitigation strategies and highlight our unique business approach and how it differentiates us from our competitors, there is no guarantee that we will be insulated from the adverse effects of such events and the occurrence of any of these events could negatively impact our business operations and financial condition.</w:t>
      </w:r>
    </w:p>
    <w:p>
      <w:pPr>
        <w:pStyle w:val="TextBody"/>
        <w:bidi w:val="0"/>
        <w:spacing w:before="0" w:after="0"/>
        <w:ind w:left="0" w:right="0" w:hanging="0"/>
        <w:jc w:val="left"/>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jc w:val="center"/>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4" w:name="a_013"/>
      <w:bookmarkEnd w:id="14"/>
      <w:r>
        <w:rPr>
          <w:rFonts w:ascii="Times New Roman;Times;Serif" w:hAnsi="Times New Roman;Times;Serif"/>
          <w:b/>
          <w:i w:val="false"/>
          <w:caps/>
          <w:sz w:val="20"/>
        </w:rPr>
        <w:t>COMMITTED EQUITY FINANCING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2026, we entered into the Standby Equity Purchase Agreement (the “SEPA”) with YA II PN, Ltd. (“Yorkville”) pursuant to which we have the right to sell to Yorkville up to $300,000,000 of our Class B Subordinate Voting Shares, subject to certain limitations and conditions set forth in the SEPA, from time to time during the term of the SEPA. Sales of Class B Subordinate Voting Shares to Yorkville under the SEPA, and the timing of any such sales, are at our option, and we are under no obligation to sell any securities to Yorkville under the SEPA. In accordance with our obligations under the SEPA, we have filed the registration statement that includes this prospectus with the SEC to register under the Securities Act the resale by Yorkville of up to 30,000,000 Class B Subordinate Voting Shares that we may elect, in our sole discretion, to issue and sell to Yorkville under the SEPA. The Class B Subordinate Voting Shares are listed on the Nasdaq Global Market (“Nasdaq”) and the Toronto Stock Exchange (the “TSX”) under the symbol “XNDU.”</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the right to commence any sales of our Class B Subordinate Voting Shares to Yorkville under the SEPA until the date on which all of the conditions to Yorkville’s purchase obligation set forth in the SEPA have been satisfied, including that the registration statement of which this prospectus forms a part be declared effective by the SEC and the final form of this prospectus is filed with the SEC. Upon the satisfaction of the conditions to Yorkville’s purchase obligation set forth in the SEPA, including that the registration statement of which this prospectus forms a part be declared effective by the SEC and the final form of this prospectus is filed with the SEC, we will have the right, but not the obligation, from time to time at our discretion during the Commitment Period, to direct Yorkville to subscribe and purchase a specified number of Class B Subordinate Voting Shares (each such sale, an “Advance”) by delivering written notice to Yorkville (each, an “Advance Notice”). There are no mandatory minimum Advances and no non-usage fees for not utilizing the SEPA facility. The number of Class B Subordinate Voting Shares that we may request in any single Advance Notice shall not exceed the Maximum Advance Amount (as defined in the SEPA).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 share purchase price Yorkville will pay for the Class B Subordinate Voting Shares (the “Purchase Price”) will be 97.50% of the Market Price during the applicable Pricing Period. The “Market Price” is defined in the SEPA as the volume weighted average price (“VWAP”) of the Class B Subordinate Voting Shares on the Principal U.S. Market during the applicable one-day Pricing Period commencing upon Yorkville’s confirmation of receipt of the applicable Advance Notice. “VWAP” means, for any Trading Day or specified period, the volume weighted average price of the Class B Subordinate Voting Shares on the Principal U.S. Market as reported by Bloomberg L.P. through its “AQR” function. Notwithstanding the foregoing, the Purchase Price shall not be less than the TSX Minimum Price (as defined in the SEPA).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control the timing and amount of any sales of Class B Subordinate Voting Shares to Yorkville. Actual sales of our Class B Subordinate Voting Shares to Yorkville under the SEPA, if any, will depend on a variety of factors to be determined by us from time to time, which may include, among other things, market conditions, the trading price of our Class B Subordinate Voting Shares and determinations by us as to the appropriate sources of funding for our business and its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Yorkville will not be obligated to purchase any Class B Subordinate Voting Shares under the SEPA which, when aggregated with all other Class B Subordinate Voting Shares then beneficially owned by Yorkville and its affiliates (as calculated pursuant to Section 13(d) of the Exchange Act, and Rule 13d-3 promulgated thereunder), would result in the beneficial ownership by Yorkville and its affiliates exceeding 4.99% of the then outstanding voting power or number of Class B Subordinate Voting Shares (the “Ownership Limitation”).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under the SEPA to us will depend on the number of Class B Subordinate Voting Shares we sell to Yorkville, the timing of such sales, and the prices at which we sell such shares to Yorkville. We expect that any proceeds received by us from such sales to Yorkville will be used for working capital and other general corporate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Yorkville has agreed that it and its affiliates will not engage in any short sales of the Class B Subordinate Voting Shares nor enter into any transaction that establishes a net short position in the Class B Subordinate Voting Shares during the term of the SEPA, except that Yorkville may sell Class B Subordinate Voting Shares that it is unconditionally obligated to purchase under a pending Advance Notice but has not yet received from us or our transfer agent.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will automatically terminate on the earlier of (i) 36 months following the effective date of the SEPA or (ii) the date on which Yorkville shall have made payment of Advances pursuant to the SEPA for Class B Subordinate Voting Shares equal to the Commitment Amount of $300,000,000. We have the right to terminate the SEPA effective at any time upon written notice to Yorkville, provided that (i) there are no outstanding Advance Notices for which Class B Subordinate Voting Shares have yet to be issued and paid for, and (ii) we have paid all amounts owed to Yorkville pursuant to the SEPA as of the time of such termination. We and Yorkville may also agree to terminate the SEPA by mutual written consent. No Party may assign or transfer its respective rights and obligations under the SEPA, and no provision of the SEPA may be modified or waived other than by an instrument in writing signed by both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Yorkville’s commitment to purchase Class B Subordinate Voting Shares at our direction upon the terms and subject to the conditions set forth in the SEPA, we have paid Yorkville a structuring fee in the amount of $25,000 and are obligated to pay a commitment fee equal to 0.45% of the Commitment Amount (the “Commitment Fee”), which is fully earned upon execution of the SEPA. At our option, we elected to pay the Commitment Fee in cash, with 10% of the gross proceeds from each Advance deducted by Yorkville from the total Purchase Price payable to us from each such Advance until the Commitment Fee is paid in full. Any portion of the Commitment Fee that remains unpaid upon the termination of the SEPA, or upon the twelve-month anniversary of the date of the SEPA, shall be immediately paid by us to Yorkville in cash.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contains customary representations, warranties, conditions and indemnification obligations of the parties. The representations, warranties and covenants contained in the SEPA were made only for purposes of the SEPA and as of specific dates, were solely for the benefit of the parties thereto and may be subject to limitations agreed upon by the contracting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know what the Purchase Price for our Class B Subordinate Voting Shares will be and therefore cannot be certain as to the number of shares we might issue to Yorkville under the SEPA. As of May 14, 2026, there were 43,284,411 Class B Subordinate Voting Shares outstanding. Although the SEPA provides that we may sell up to $300,000,000 of our Class B Subordinate Voting Shares to Yorkville, only 30,000,000 Class B Subordinate Voting Shares are being registered for resale under the registration statement that includes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when we elect to issue and sell Class B Subordinate Voting Shares to Yorkville, we will need to register for resale under the Securities Act additional Class B Subordinate Voting Shares in order to receive aggregate gross proceeds equal to the $300,000,000 available to us under the SEPA (representing the full commitment amount before the application of the 2.5% discount to the Market Price at which Yorkville purchases shares), depending on market prices for our Class B Subordinate Voting Shares. If all of the 30,000,000 Class B Subordinate Voting Shares offered by Yorkville for resale under the registration statement that includes this prospectus were issued and outstanding as of the date hereof, such shares would represent approximately 40.9% of the total number of Class B Subordinate Voting Shares outstanding as of May 14, 2026. If we elect to issue and sell more than the 30,000,000 Class B Subordinate Voting Shares offered under this prospectus to Yorkville, we must first register for resale under the Securities Act any such additional shares, which could cause additional dilution to our shareholders. The number of shares ultimately offered for resale by Yorkville is dependent upon the number of Class B Subordinate Voting Shares we may elect to sell to Yorkville under the SEPA.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substantial risks to our shareholders as a result of the sale and issuance of Class B Subordinate Voting Shares to Yorkville under the SEPA. These risks include the potential for substantial dilution and significant declines in our share price. See the section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Issuances of our Class B Subordinate Voting Shares in this offering will not affect the rights or privileges of our existing shareholders, except that the economic and voting interests of each of our existing shareholders will be diluted as a result of any such issuance. Although the number of Class B Subordinate Voting Shares that our existing shareholders own will not decrease as a result of sales, if any, under the SEPA, the shares owned by our existing shareholders will represent a smaller percentage of our total outstanding shares after any such issuance to Yorkville.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of the SEPA contained in this prospectus is qualified in its entirety by reference to the SEPA, a copy of which is filed as an exhibit to the registration statement that includes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Advances of Class B Subordinate Voting Shares Under the SEPA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right, but not the obligation, from time to time at our discretion during the Commitment Period, and up to an aggregate amount of $300,000,000, to direct Yorkville to purchase up to a specified number of Class B Subordinate Voting Shares as set forth in the SEPA (each, an “Advance”) by delivering written notice to Yorkville (each, an “Advance Notice”) on any Trading Day (each, an “Advance Notice Date”), subject to the Maximum Advance Amount and the other limitations set forth in the SEPA. There are no mandatory minimum Advances and no non-usage fees for not utilizing the SEPA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Pre-Advance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Advances, on a periodic basis and at the mutual consent of Yorkville and the Company, Yorkville may pre-advance capital against the Commitment Amount pursuant to promissory notes (each, a “Pre-Advance”) in an aggregate amount of up to $100,000,000, on mutually agreeable terms and conditions. To the extent the aggregate Purchase Price to be paid pursuant to the SEPA is netted against such Pre-Advance, the amount owing to Yorkville pursuant to the applicable promissory note(s) shall be reduced by the Purchase Price set forth in the applicable settlement document. At no time will Advance Shares be issued to Yorkville in satisfaction of a pre-advance of capital at a price that is below the TSX Minimum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Conditions to Each Advance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Yorkville’s obligation to accept Advance Notices that are timely delivered by us under the SEPA and to purchase Class B Subordinate Voting Shares in Advances under the SEPA is subject to the satisfaction, at the applicable Advance Notice Date, of certain conditions, including: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accuracy in all material respects of the representations and warranties of the Company and Yorkville included in the SEPA;</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registration statement that includes this prospectus (and any one or more additional registration statements filed with the SEC that include Class B Subordinate Voting Shares that may be issued and sold by us to Yorkville under the SEPA) having been declared effective under the Securities Act by the SEC, and we shall have filed with the SEC in a timely manner all reports, notices and other documents required under the Exchange Act and applicable SEC regulations during the twelve-month period immediately preceding the applicable Condition Satisfaction Date;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Company having performed, satisfied and complied in all material respects with all covenants, agreements and conditions required by the SEPA to be performed, satisfied or complied with by the Company;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Company shall have obtained all permits and qualifications required by any applicable state or province for the offer and issuance of all the Class B Subordinate Voting Shares issuable pursuant to such Advance Notice or shall have the availability of exemptions therefrom. The issuance of such Class B Subordinate Voting Shares shall be legally permitted by all laws and regulations to which the Company is subject;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no condition, occurrence, state of facts or event constituting a Material Outside Event (as such term is defined in the SEPA) shall have occurred and be continuing;</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no statute, rule, regulation, executive order, decree, ruling or injunction shall have been enacted, entered, promulgated or endorsed by any court or governmental authority of competent jurisdiction that prohibits or materially and adversely affects any of the transactions contemplated by the SEPA;</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jc w:val="center"/>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Class B Subordinate Voting Shares are listed for trading on the Nasdaq and the TSX, and all Class B Subordinate Voting Shares issuable pursuant to such Advance Notice will be approved for listing on the Principal Markets. The issuance of Class B Subordinate Voting Shares with respect to the applicable Advance Notice will not violate the shareholder approval requirements of the applicable exchange. The Company shall not have received any written notice that is then still pending threatening the continued listing of the Class B Subordinate Voting Shares on the Principal Markets;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all of the Class B Subordinate Voting Shares issuable pursuant to the applicable Advance Notice shall have been duly authorized by all necessary corporate action of the Company, and there shall be a sufficient number of authorized but unissued and otherwise unreserved Class B Subordinate Voting Shares for the issuance of all of the shares issuable pursuant to such Advance Notice;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except with respect to the first Advance Notice, the Company shall have delivered all Class B Subordinate Voting Shares relating to all prior Advances.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Termination of the SEPA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earlier terminated as provided in the SEPA, the SEPA will terminate automatically on the earlier of:</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47"/>
        <w:gridCol w:w="9903"/>
      </w:tblGrid>
      <w:tr>
        <w:trPr/>
        <w:tc>
          <w:tcPr>
            <w:tcW w:w="5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w:t>
            </w:r>
          </w:p>
        </w:tc>
        <w:tc>
          <w:tcPr>
            <w:tcW w:w="9903" w:type="dxa"/>
            <w:tcBorders/>
            <w:vAlign w:val="center"/>
          </w:tcPr>
          <w:p>
            <w:pPr>
              <w:pStyle w:val="TableContents"/>
              <w:bidi w:val="0"/>
              <w:spacing w:before="0" w:after="283"/>
              <w:jc w:val="both"/>
              <w:rPr/>
            </w:pPr>
            <w:r>
              <w:rPr/>
              <w:t>the date that is 36 months following the effective date of the SEPA;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date on which Yorkville shall have made payment of Advances pursuant to the SEPA for Class B Subordinate Voting Shares equal to the Commitment Amount of $300,000,000.</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the right to terminate the SEPA effective at any time upon written notice to Yorkville, provided that (i) there are no outstanding Advance Notices for which Class B Subordinate Voting Shares have yet to be issued and paid for, and (ii) we have paid all amounts owed to Yorkville pursuant to the SEPA as of the time of such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Short-Selling by Yorkville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Yorkville has agreed that it and its affiliates will not engage in any short sales of the Class B Subordinate Voting Shares during the term of the SEPA and will not enter into any transaction that establishes a net short position with respect to the Class B Subordinate Voting Shares. Notwithstanding the foregoing, Yorkville may sell Class B Subordinate Voting Shares that it is unconditionally obligated to purchase under a pending Advance Notice but has not yet received from us or our transfer agent pursuant to the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Effect of Sales of our Class B Subordinate Voting Shares under the SEPA on our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Class B Subordinate Voting Shares that may be issued or sold by us to Yorkville under the SEPA that are being registered under the Securities Act for resale by Yorkville in this offering are expected to be freely tradable pursuant to applicable U.S. securities laws. With respect to any resale by Yorkville of Class B Subordinate Voting Shares, Yorkville must comply with the requirements of OSC Rule 72-503 – </w:t>
      </w:r>
      <w:r>
        <w:rPr>
          <w:rFonts w:ascii="Times New Roman;Times;Serif" w:hAnsi="Times New Roman;Times;Serif"/>
          <w:b w:val="false"/>
          <w:i/>
          <w:caps w:val="false"/>
          <w:smallCaps w:val="false"/>
          <w:sz w:val="20"/>
        </w:rPr>
        <w:t xml:space="preserve">Distributions Outside Canada. </w:t>
      </w:r>
      <w:r>
        <w:rPr>
          <w:rFonts w:ascii="Times New Roman;Times;Serif" w:hAnsi="Times New Roman;Times;Serif"/>
          <w:b w:val="false"/>
          <w:i w:val="false"/>
          <w:caps w:val="false"/>
          <w:smallCaps w:val="false"/>
          <w:sz w:val="20"/>
        </w:rPr>
        <w:t>The Class B Subordinate Voting Shares being registered for resale in this offering may be issued and sold by us to Yorkville from time to time at our discretion over the term of the SEPA. The resale by Yorkville of a significant amount of shares registered for resale in this offering at any given time, or the perception that these sales may occur, could cause the market price of our Class B Subordinate Voting Shares to decline and to be highly volatile. Sales of our Class B Subordinate Voting Shares, if any, to Yorkville under the SEPA will depend upon market conditions and other factors to be determined by us. We may ultimately decide to sell to Yorkville all, some or none of the Class B Subordinate Voting Shares that may be available for us to sell to Yorkville pursuant to the SEPA.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when we do elect to sell Class B Subordinate Voting Shares to Yorkville pursuant to the SEPA, Yorkville may resell all, some or none of such shares in its discretion and at different prices subject to the terms of the SEPA. As a result, investors who purchase shares from Yorkville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Yorkville in this offering as a result of future sales made by us to Yorkville at prices lower than the prices such investors paid for their shares in this offering. In addition, if we sell a substantial number of shares to Yorkville under the SEPA, or if investors expect that we will do so, the actual sales of shares or the mere existence of our arrangement with Yorkville may make it more difficult for us to sell equity or equity-related securities in the future at a desirable time and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Purchase Price per share to be paid by Yorkville for the Class B Subordinate Voting Shares that we may elect to sell to Yorkville under the SEPA, if any, will fluctuate based on the market prices of our Class B Subordinate Voting Shares during the applicable Pricing Period (as defined in the SEPA), as of the date of this prospectus we cannot reliably predict the number of Class B Subordinate Voting Shares that we will sell to Yorkville under the SEPA, the actual Purchase Price per share to be paid by Yorkville for those shares, or the actual gross proceeds to be raised by us from those sales, if any. If all of the 30,000,000 Class B Subordinate Voting Shares offered for resale by Yorkville under the registration statement that includes this prospectus were issued and outstanding as of May 14, 2026, such shares would represent approximately 40.9% of the total number of Class B Subordinate Voting Shares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SEPA provides that we may, in our discretion, from time to time after the date of this prospectus and during the term of the SEPA, direct Yorkville to purchase Class B Subordinate Voting Shares from us in one or more Advances under the SEPA, for a maximum aggregate amount of up to $300,000,000, only 30,000,000 Class B Subordinate Voting Shares are being registered for resale under the registration statement that includes this prospectus. The Purchase Price per share will be equal to 97.50% of the Market Price during the applicable Pricing Period, provided that the Purchase Price shall not be less than the TSX Minimum Price.While the market price of our Class B Subordinate Voting Shares may fluctuate from time to time after the date of this prospectus and, as a result, the actual Purchase Price to be paid by Yorkville under the SEPA for Class B Subordinate Voting Shares, if any, may also fluctuate, in order for us to receive the full amount of Yorkville’s commitment under the SEPA, it is possible that we may need to issue and sell more than the number of shares being registered for resale under the registration statement that includes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if any, of our Class B Subordinate Voting Shares to Yorkville pursuant to the SEPA will not affect the rights or privileges of our existing shareholders, except that the economic and voting interests of each of our existing shareholders would be diluted. Although the number of Class B Subordinate Voting Shares that our existing shareholders own would not decrease as a result of sales, if any, under the SEPA, the Class B Subordinate Voting Shares owned by our existing shareholders would represent a smaller percentage of our total outstanding Class B Subordinate Voting Shares after any such issuance.</w:t>
      </w:r>
    </w:p>
    <w:p>
      <w:pPr>
        <w:pStyle w:val="TextBody"/>
        <w:bidi w:val="0"/>
        <w:spacing w:before="0" w:after="0"/>
        <w:ind w:left="0" w:right="0" w:hanging="0"/>
        <w:jc w:val="left"/>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jc w:val="center"/>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5" w:name="a_014"/>
      <w:bookmarkEnd w:id="15"/>
      <w:r>
        <w:rPr>
          <w:rFonts w:ascii="Times New Roman;Times;Serif" w:hAnsi="Times New Roman;Times;Serif"/>
          <w:b/>
          <w:i w:val="false"/>
          <w:caps/>
          <w:sz w:val="20"/>
        </w:rPr>
        <w:t>CAPITALIZATION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capitalization and indebtedness as of March 31, 2026. The information below should be read together with the information under “Management’s Discussion and Analysis of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627"/>
        <w:gridCol w:w="60"/>
        <w:gridCol w:w="258"/>
        <w:gridCol w:w="1175"/>
        <w:gridCol w:w="85"/>
      </w:tblGrid>
      <w:tr>
        <w:trPr/>
        <w:tc>
          <w:tcPr>
            <w:tcW w:w="8627" w:type="dxa"/>
            <w:tcBorders>
              <w:bottom w:val="single" w:sz="12" w:space="0" w:color="000000"/>
            </w:tcBorders>
            <w:vAlign w:val="center"/>
          </w:tcPr>
          <w:p>
            <w:pPr>
              <w:pStyle w:val="TableContents"/>
              <w:bidi w:val="0"/>
              <w:spacing w:before="0" w:after="283"/>
              <w:jc w:val="both"/>
              <w:rPr>
                <w:b/>
              </w:rPr>
            </w:pPr>
            <w:r>
              <w:rPr>
                <w:b/>
              </w:rPr>
              <w:t>As of March 31, 2026</w:t>
            </w:r>
          </w:p>
        </w:tc>
        <w:tc>
          <w:tcPr>
            <w:tcW w:w="60" w:type="dxa"/>
            <w:tcBorders/>
            <w:tcMar>
              <w:bottom w:w="0" w:type="dxa"/>
            </w:tcMar>
            <w:vAlign w:val="center"/>
          </w:tcPr>
          <w:p>
            <w:pPr>
              <w:pStyle w:val="TableContents"/>
              <w:bidi w:val="0"/>
              <w:spacing w:before="0" w:after="283"/>
              <w:jc w:val="left"/>
              <w:rPr/>
            </w:pPr>
            <w:r>
              <w:rPr/>
              <w:t> </w:t>
            </w:r>
          </w:p>
        </w:tc>
        <w:tc>
          <w:tcPr>
            <w:tcW w:w="1433" w:type="dxa"/>
            <w:gridSpan w:val="2"/>
            <w:tcBorders>
              <w:bottom w:val="single" w:sz="12" w:space="0" w:color="000000"/>
            </w:tcBorders>
            <w:vAlign w:val="center"/>
          </w:tcPr>
          <w:p>
            <w:pPr>
              <w:pStyle w:val="TableContents"/>
              <w:bidi w:val="0"/>
              <w:spacing w:before="0" w:after="283"/>
              <w:jc w:val="center"/>
              <w:rPr>
                <w:b/>
              </w:rPr>
            </w:pPr>
            <w:r>
              <w:rPr>
                <w:b/>
              </w:rPr>
              <w:t>Xanadu</w:t>
              <w:br/>
              <w:t>Condensed</w:t>
              <w:br/>
              <w:t>Consolidated</w:t>
            </w:r>
          </w:p>
        </w:tc>
        <w:tc>
          <w:tcPr>
            <w:tcW w:w="85" w:type="dxa"/>
            <w:tcBorders/>
            <w:tcMar>
              <w:bottom w:w="0" w:type="dxa"/>
            </w:tcMar>
            <w:vAlign w:val="center"/>
          </w:tcPr>
          <w:p>
            <w:pPr>
              <w:pStyle w:val="TableContents"/>
              <w:bidi w:val="0"/>
              <w:spacing w:before="0" w:after="283"/>
              <w:jc w:val="left"/>
              <w:rPr/>
            </w:pPr>
            <w:r>
              <w:rPr/>
              <w:t> </w:t>
            </w:r>
          </w:p>
        </w:tc>
      </w:tr>
      <w:tr>
        <w:trPr/>
        <w:tc>
          <w:tcPr>
            <w:tcW w:w="862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33" w:type="dxa"/>
            <w:gridSpan w:val="2"/>
            <w:tcBorders>
              <w:bottom w:val="single" w:sz="12" w:space="0" w:color="000000"/>
            </w:tcBorders>
            <w:vAlign w:val="center"/>
          </w:tcPr>
          <w:p>
            <w:pPr>
              <w:pStyle w:val="TableContents"/>
              <w:bidi w:val="0"/>
              <w:spacing w:before="0" w:after="283"/>
              <w:jc w:val="center"/>
              <w:rPr/>
            </w:pPr>
            <w:r>
              <w:rPr/>
              <w:t>(US$) in millions</w:t>
            </w:r>
          </w:p>
        </w:tc>
        <w:tc>
          <w:tcPr>
            <w:tcW w:w="85" w:type="dxa"/>
            <w:tcBorders/>
            <w:tcMar>
              <w:bottom w:w="0" w:type="dxa"/>
            </w:tcMar>
            <w:vAlign w:val="center"/>
          </w:tcPr>
          <w:p>
            <w:pPr>
              <w:pStyle w:val="TableContents"/>
              <w:bidi w:val="0"/>
              <w:spacing w:before="0" w:after="283"/>
              <w:ind w:left="0" w:right="0" w:hanging="180"/>
              <w:jc w:val="left"/>
              <w:rPr/>
            </w:pPr>
            <w:r>
              <w:rPr/>
              <w:t> </w:t>
            </w:r>
          </w:p>
        </w:tc>
      </w:tr>
      <w:tr>
        <w:trPr/>
        <w:tc>
          <w:tcPr>
            <w:tcW w:w="8627" w:type="dxa"/>
            <w:tcBorders/>
            <w:shd w:fill="CCEEFF" w:val="clear"/>
            <w:tcMar>
              <w:bottom w:w="0" w:type="dxa"/>
            </w:tcMar>
            <w:vAlign w:val="center"/>
          </w:tcPr>
          <w:p>
            <w:pPr>
              <w:pStyle w:val="TableContents"/>
              <w:bidi w:val="0"/>
              <w:spacing w:before="0" w:after="283"/>
              <w:jc w:val="both"/>
              <w:rPr/>
            </w:pPr>
            <w:r>
              <w:rPr/>
              <w:t>Cash and cash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bottom w:val="single" w:sz="12" w:space="0" w:color="000000"/>
            </w:tcBorders>
            <w:shd w:fill="CCEEFF" w:val="clear"/>
            <w:vAlign w:val="center"/>
          </w:tcPr>
          <w:p>
            <w:pPr>
              <w:pStyle w:val="TableContents"/>
              <w:bidi w:val="0"/>
              <w:spacing w:before="0" w:after="283"/>
              <w:jc w:val="left"/>
              <w:rPr/>
            </w:pPr>
            <w:r>
              <w:rPr/>
              <w:t>$</w:t>
            </w:r>
          </w:p>
        </w:tc>
        <w:tc>
          <w:tcPr>
            <w:tcW w:w="1175" w:type="dxa"/>
            <w:tcBorders>
              <w:bottom w:val="single" w:sz="12" w:space="0" w:color="000000"/>
            </w:tcBorders>
            <w:shd w:fill="CCEEFF" w:val="clear"/>
            <w:vAlign w:val="center"/>
          </w:tcPr>
          <w:p>
            <w:pPr>
              <w:pStyle w:val="TableContents"/>
              <w:bidi w:val="0"/>
              <w:spacing w:before="0" w:after="283"/>
              <w:jc w:val="right"/>
              <w:rPr/>
            </w:pPr>
            <w:r>
              <w:rPr/>
              <w:t>272.5</w:t>
            </w:r>
          </w:p>
        </w:tc>
        <w:tc>
          <w:tcPr>
            <w:tcW w:w="8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8627" w:type="dxa"/>
            <w:tcBorders/>
            <w:shd w:fill="FFFFFF" w:val="clear"/>
            <w:tcMar>
              <w:bottom w:w="0" w:type="dxa"/>
            </w:tcMar>
            <w:vAlign w:val="center"/>
          </w:tcPr>
          <w:p>
            <w:pPr>
              <w:pStyle w:val="TableContents"/>
              <w:bidi w:val="0"/>
              <w:spacing w:before="0" w:after="283"/>
              <w:jc w:val="both"/>
              <w:rPr/>
            </w:pPr>
            <w:r>
              <w:rPr/>
              <w:t>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20.2</w:t>
            </w:r>
          </w:p>
        </w:tc>
        <w:tc>
          <w:tcPr>
            <w:tcW w:w="8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8627" w:type="dxa"/>
            <w:tcBorders/>
            <w:shd w:fill="CCEEFF" w:val="clear"/>
            <w:tcMar>
              <w:bottom w:w="0" w:type="dxa"/>
            </w:tcMar>
            <w:vAlign w:val="center"/>
          </w:tcPr>
          <w:p>
            <w:pPr>
              <w:pStyle w:val="TableContents"/>
              <w:bidi w:val="0"/>
              <w:spacing w:before="0" w:after="283"/>
              <w:jc w:val="both"/>
              <w:rPr/>
            </w:pPr>
            <w:r>
              <w:rPr/>
              <w:t>Long-term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36.8</w:t>
            </w:r>
          </w:p>
        </w:tc>
        <w:tc>
          <w:tcPr>
            <w:tcW w:w="8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8627" w:type="dxa"/>
            <w:tcBorders/>
            <w:shd w:fill="FFFFFF" w:val="clear"/>
            <w:tcMar>
              <w:bottom w:w="0" w:type="dxa"/>
            </w:tcMar>
            <w:vAlign w:val="center"/>
          </w:tcPr>
          <w:p>
            <w:pPr>
              <w:pStyle w:val="TableContents"/>
              <w:bidi w:val="0"/>
              <w:spacing w:before="0" w:after="283"/>
              <w:jc w:val="both"/>
              <w:rPr/>
            </w:pPr>
            <w:r>
              <w:rPr/>
              <w:t>Shareholders’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 </w:t>
            </w:r>
          </w:p>
        </w:tc>
        <w:tc>
          <w:tcPr>
            <w:tcW w:w="8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8627" w:type="dxa"/>
            <w:tcBorders/>
            <w:shd w:fill="CCEEFF" w:val="clear"/>
            <w:tcMar>
              <w:bottom w:w="0" w:type="dxa"/>
            </w:tcMar>
            <w:vAlign w:val="center"/>
          </w:tcPr>
          <w:p>
            <w:pPr>
              <w:pStyle w:val="TableContents"/>
              <w:bidi w:val="0"/>
              <w:spacing w:before="0" w:after="283"/>
              <w:jc w:val="both"/>
              <w:rPr/>
            </w:pPr>
            <w:r>
              <w:rPr/>
              <w:t>Common shares, unlimited Xanadu Class A Multiple Voting Shares authorized, no par value, 255,226,928 issued and outstanding; unlimited Xanadu Class B Subordinate Voting Shares authorized, no par value, 43,284,436 shares issued and outstanding at March 31,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478.2</w:t>
            </w:r>
          </w:p>
        </w:tc>
        <w:tc>
          <w:tcPr>
            <w:tcW w:w="8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8627" w:type="dxa"/>
            <w:tcBorders/>
            <w:shd w:fill="FFFFFF" w:val="clear"/>
            <w:tcMar>
              <w:bottom w:w="0" w:type="dxa"/>
            </w:tcMar>
            <w:vAlign w:val="center"/>
          </w:tcPr>
          <w:p>
            <w:pPr>
              <w:pStyle w:val="TableContents"/>
              <w:bidi w:val="0"/>
              <w:spacing w:before="0" w:after="283"/>
              <w:jc w:val="both"/>
              <w:rPr/>
            </w:pPr>
            <w:r>
              <w:rPr/>
              <w:t>Additional paid-in capital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12.3</w:t>
            </w:r>
          </w:p>
        </w:tc>
        <w:tc>
          <w:tcPr>
            <w:tcW w:w="8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8627" w:type="dxa"/>
            <w:tcBorders/>
            <w:shd w:fill="CCEEFF" w:val="clear"/>
            <w:tcMar>
              <w:bottom w:w="0" w:type="dxa"/>
            </w:tcMar>
            <w:vAlign w:val="center"/>
          </w:tcPr>
          <w:p>
            <w:pPr>
              <w:pStyle w:val="TableContents"/>
              <w:bidi w:val="0"/>
              <w:spacing w:before="0" w:after="283"/>
              <w:jc w:val="both"/>
              <w:rPr/>
            </w:pPr>
            <w:r>
              <w:rPr/>
              <w:t>Accumulated other comprehensive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(0.2</w:t>
            </w:r>
          </w:p>
        </w:tc>
        <w:tc>
          <w:tcPr>
            <w:tcW w:w="8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8627" w:type="dxa"/>
            <w:tcBorders/>
            <w:shd w:fill="FFFFFF" w:val="clear"/>
            <w:tcMar>
              <w:bottom w:w="0" w:type="dxa"/>
            </w:tcMar>
            <w:vAlign w:val="center"/>
          </w:tcPr>
          <w:p>
            <w:pPr>
              <w:pStyle w:val="TableContents"/>
              <w:bidi w:val="0"/>
              <w:spacing w:before="0" w:after="283"/>
              <w:jc w:val="both"/>
              <w:rPr/>
            </w:pPr>
            <w:r>
              <w:rPr/>
              <w:t>Accumulated deficit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bottom w:val="single" w:sz="12" w:space="0" w:color="000000"/>
            </w:tcBorders>
            <w:shd w:fill="FFFFFF" w:val="clear"/>
            <w:vAlign w:val="center"/>
          </w:tcPr>
          <w:p>
            <w:pPr>
              <w:pStyle w:val="TableContents"/>
              <w:bidi w:val="0"/>
              <w:spacing w:before="0" w:after="283"/>
              <w:jc w:val="left"/>
              <w:rPr/>
            </w:pPr>
            <w:r>
              <w:rPr/>
              <w:t> </w:t>
            </w:r>
          </w:p>
        </w:tc>
        <w:tc>
          <w:tcPr>
            <w:tcW w:w="1175" w:type="dxa"/>
            <w:tcBorders>
              <w:bottom w:val="single" w:sz="12" w:space="0" w:color="000000"/>
            </w:tcBorders>
            <w:shd w:fill="FFFFFF" w:val="clear"/>
            <w:vAlign w:val="center"/>
          </w:tcPr>
          <w:p>
            <w:pPr>
              <w:pStyle w:val="TableContents"/>
              <w:bidi w:val="0"/>
              <w:spacing w:before="0" w:after="283"/>
              <w:jc w:val="right"/>
              <w:rPr/>
            </w:pPr>
            <w:r>
              <w:rPr/>
              <w:t>(228.3</w:t>
            </w:r>
          </w:p>
        </w:tc>
        <w:tc>
          <w:tcPr>
            <w:tcW w:w="85"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8627" w:type="dxa"/>
            <w:tcBorders/>
            <w:shd w:fill="CCEEFF" w:val="clear"/>
            <w:tcMar>
              <w:bottom w:w="0" w:type="dxa"/>
            </w:tcMar>
            <w:vAlign w:val="center"/>
          </w:tcPr>
          <w:p>
            <w:pPr>
              <w:pStyle w:val="TableContents"/>
              <w:bidi w:val="0"/>
              <w:spacing w:before="0" w:after="283"/>
              <w:jc w:val="both"/>
              <w:rPr/>
            </w:pPr>
            <w:r>
              <w:rPr/>
              <w:t>Total shareholders’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bottom w:val="single" w:sz="12" w:space="0" w:color="000000"/>
            </w:tcBorders>
            <w:shd w:fill="CCEEFF" w:val="clear"/>
            <w:vAlign w:val="center"/>
          </w:tcPr>
          <w:p>
            <w:pPr>
              <w:pStyle w:val="TableContents"/>
              <w:bidi w:val="0"/>
              <w:spacing w:before="0" w:after="283"/>
              <w:jc w:val="left"/>
              <w:rPr/>
            </w:pPr>
            <w:r>
              <w:rPr/>
              <w:t> </w:t>
            </w:r>
          </w:p>
        </w:tc>
        <w:tc>
          <w:tcPr>
            <w:tcW w:w="1175" w:type="dxa"/>
            <w:tcBorders>
              <w:bottom w:val="single" w:sz="12" w:space="0" w:color="000000"/>
            </w:tcBorders>
            <w:shd w:fill="CCEEFF" w:val="clear"/>
            <w:vAlign w:val="center"/>
          </w:tcPr>
          <w:p>
            <w:pPr>
              <w:pStyle w:val="TableContents"/>
              <w:bidi w:val="0"/>
              <w:spacing w:before="0" w:after="283"/>
              <w:jc w:val="right"/>
              <w:rPr/>
            </w:pPr>
            <w:r>
              <w:rPr/>
              <w:t>262.0</w:t>
            </w:r>
          </w:p>
        </w:tc>
        <w:tc>
          <w:tcPr>
            <w:tcW w:w="8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8627" w:type="dxa"/>
            <w:tcBorders/>
            <w:shd w:fill="FFFFFF" w:val="clear"/>
            <w:tcMar>
              <w:bottom w:w="0" w:type="dxa"/>
            </w:tcMar>
            <w:vAlign w:val="center"/>
          </w:tcPr>
          <w:p>
            <w:pPr>
              <w:pStyle w:val="TableContents"/>
              <w:bidi w:val="0"/>
              <w:spacing w:before="0" w:after="283"/>
              <w:jc w:val="both"/>
              <w:rPr/>
            </w:pPr>
            <w:r>
              <w:rPr/>
              <w:t>Total capitalization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bottom w:val="single" w:sz="12" w:space="0" w:color="000000"/>
            </w:tcBorders>
            <w:shd w:fill="FFFFFF" w:val="clear"/>
            <w:vAlign w:val="center"/>
          </w:tcPr>
          <w:p>
            <w:pPr>
              <w:pStyle w:val="TableContents"/>
              <w:bidi w:val="0"/>
              <w:spacing w:before="0" w:after="283"/>
              <w:jc w:val="left"/>
              <w:rPr/>
            </w:pPr>
            <w:r>
              <w:rPr/>
              <w:t> </w:t>
            </w:r>
          </w:p>
        </w:tc>
        <w:tc>
          <w:tcPr>
            <w:tcW w:w="1175" w:type="dxa"/>
            <w:tcBorders>
              <w:bottom w:val="single" w:sz="12" w:space="0" w:color="000000"/>
            </w:tcBorders>
            <w:shd w:fill="FFFFFF" w:val="clear"/>
            <w:vAlign w:val="center"/>
          </w:tcPr>
          <w:p>
            <w:pPr>
              <w:pStyle w:val="TableContents"/>
              <w:bidi w:val="0"/>
              <w:spacing w:before="0" w:after="283"/>
              <w:jc w:val="right"/>
              <w:rPr/>
            </w:pPr>
            <w:r>
              <w:rPr/>
              <w:t>319.0</w:t>
            </w:r>
          </w:p>
        </w:tc>
        <w:tc>
          <w:tcPr>
            <w:tcW w:w="8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jc w:val="center"/>
        <w:rPr/>
      </w:pPr>
      <w:r>
        <w:rPr/>
        <w:t> </w:t>
      </w:r>
    </w:p>
    <w:p>
      <w:pPr>
        <w:pStyle w:val="TextBody"/>
        <w:bidi w:val="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6" w:name="a_015"/>
      <w:bookmarkEnd w:id="16"/>
      <w:r>
        <w:rPr>
          <w:rFonts w:ascii="Times New Roman;Times;Serif" w:hAnsi="Times New Roman;Times;Serif"/>
          <w:b/>
          <w:i w:val="false"/>
          <w:caps/>
          <w:sz w:val="20"/>
        </w:rPr>
        <w:t>USE OF PROCEEDS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resale of the Cohen Shares by Cohen or from the resale of Class B Subordinate Voting Shares by Yorkville pursuant to this prospectus, all of which will be sold by each respective selling securityholder for its own account.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we may receive up to $300,000,000 aggregate gross proceeds from sales of our Class B Subordinate Voting Shares by us to Yorkville pursuant to the SEPA (representing the full commitment amount before the application of the 2.5% discount to the Market Price at which Yorkville purchases shares). The net proceeds from sales, if any, under the SEPA will depend on the number of Class B Subordinate Voting Shares we sell to Yorkville, the timing of such sales, and the prices at which we sell such shares to Yorkville after the date of this prospectus. See the section titled “Plan of Distribution” elsewhere in this prospectus for more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use any proceeds that we receive under the SEPA for working capital and general corporate purposes. As of the date of this prospectus, we cannot specify with certainty all of the particular uses, and the respective amounts we may allocate to those uses, for any net proceeds we receive. Accordingly, we will retain broad discretion over the use of these proceeds. Pending our use of the net proceeds as described above, we intend to invest the net proceeds pursuant to the SEPA in interest-bearing, investment-grade instruments.</w:t>
      </w:r>
    </w:p>
    <w:p>
      <w:pPr>
        <w:pStyle w:val="TextBody"/>
        <w:bidi w:val="0"/>
        <w:spacing w:before="0" w:after="0"/>
        <w:ind w:left="0" w:right="0" w:hanging="0"/>
        <w:jc w:val="left"/>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jc w:val="center"/>
        <w:rPr/>
      </w:pPr>
      <w:r>
        <w:rPr/>
        <w:t> </w:t>
      </w:r>
    </w:p>
    <w:p>
      <w:pPr>
        <w:pStyle w:val="TextBody"/>
        <w:bidi w:val="0"/>
        <w:spacing w:before="0" w:after="0"/>
        <w:ind w:left="0" w:right="0" w:hanging="0"/>
        <w:jc w:val="left"/>
        <w:rPr>
          <w:caps/>
        </w:rPr>
      </w:pPr>
      <w:r>
        <w:rPr>
          <w:caps/>
        </w:rPr>
        <w:t> </w:t>
      </w:r>
    </w:p>
    <w:p>
      <w:pPr>
        <w:pStyle w:val="TextBody"/>
        <w:bidi w:val="0"/>
        <w:spacing w:before="0" w:after="0"/>
        <w:jc w:val="center"/>
        <w:rPr>
          <w:rFonts w:ascii="Times New Roman;Times;Serif" w:hAnsi="Times New Roman;Times;Serif"/>
          <w:b/>
          <w:i w:val="false"/>
          <w:caps/>
          <w:sz w:val="20"/>
        </w:rPr>
      </w:pPr>
      <w:bookmarkStart w:id="17" w:name="a_016"/>
      <w:bookmarkEnd w:id="17"/>
      <w:r>
        <w:rPr>
          <w:rFonts w:ascii="Times New Roman;Times;Serif" w:hAnsi="Times New Roman;Times;Serif"/>
          <w:b/>
          <w:i w:val="false"/>
          <w:caps/>
          <w:sz w:val="20"/>
        </w:rPr>
        <w:t>UNAUDITED PRO FORMA CONDENSED COMBINED FINANCIAL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dollar amounts are expressed in thousands of United States dollars (“$”), unless otherwise indicated.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statements of Xanadu Quantum Technologies Limited were provided to aid you in your analysis of the financial aspects of the Business Combination and the transactions contemplated therein, including the PIPE Financing (collectively, the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statements have been prepared based on our historical financial statements, the CHAC historical financial statements and the Old Xanadu historical consolidated financial statements as adjusted to give effect to the Transactions. The unaudited pro forma condensed combined statement of operations and comprehensive loss for the year ended December 31, 2025 gives effect to the Transactions as if they had occurred on January 1, 2025. The unaudited pro forma condensed combined statement of operations and comprehensive loss for the three month period ended March 31, 2026 gives effect to the Transactions as if they had occurred on January 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statements have been presented for illustrative purposes only and do not necessarily reflect what the combined company’s financial condition or results of operations would have been had the Transactions occurred on the dates indicated. Further, the pro forma condensed combined financial information may not be useful in predicting the future financial condition and results of operations of the combined company. The actual financial position and results of operations may differ significantly from the pro forma amounts reflected herein due to a variety of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statements have been derived from and should be read in conjunction with:</w:t>
      </w:r>
    </w:p>
    <w:p>
      <w:pPr>
        <w:pStyle w:val="TextBody"/>
        <w:bidi w:val="0"/>
        <w:spacing w:before="0" w:after="0"/>
        <w:ind w:left="960" w:right="0" w:hanging="480"/>
        <w:jc w:val="both"/>
        <w:rPr>
          <w:caps w:val="false"/>
          <w:smallCaps w:val="false"/>
        </w:rPr>
      </w:pPr>
      <w:r>
        <w:rPr>
          <w:caps w:val="false"/>
          <w:smallCaps w:val="false"/>
        </w:rPr>
        <w:t> </w:t>
      </w:r>
    </w:p>
    <w:tbl>
      <w:tblPr>
        <w:tblW w:w="9108" w:type="dxa"/>
        <w:jc w:val="left"/>
        <w:tblInd w:w="0" w:type="dxa"/>
        <w:tblLayout w:type="fixed"/>
        <w:tblCellMar>
          <w:top w:w="0" w:type="dxa"/>
          <w:left w:w="0" w:type="dxa"/>
          <w:bottom w:w="0" w:type="dxa"/>
          <w:right w:w="0" w:type="dxa"/>
        </w:tblCellMar>
      </w:tblPr>
      <w:tblGrid>
        <w:gridCol w:w="38"/>
        <w:gridCol w:w="170"/>
        <w:gridCol w:w="8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00" w:type="dxa"/>
            <w:tcBorders/>
            <w:vAlign w:val="center"/>
          </w:tcPr>
          <w:p>
            <w:pPr>
              <w:pStyle w:val="TableContents"/>
              <w:bidi w:val="0"/>
              <w:spacing w:before="0" w:after="283"/>
              <w:jc w:val="both"/>
              <w:rPr/>
            </w:pPr>
            <w:r>
              <w:rPr/>
              <w:t>the accompanying notes to the unaudited pro forma condensed combined financial statements;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historical audited financial statements of Xanadu as of and for the period from October 2, 2025 (inception) to December 31, 2025, and related notes included elsewhere in this prospectus;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historical audited financial statements of CHAC as of and for the period from January 2, 2025 (inception) to December 31, 2025, and related notes;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historical audited consolidated financial statements of Old Xanadu as of and for the fiscal year ended December 31, 2025, and the related notes included elsewhere in this prospectus;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historical unaudited condensed consolidated financial statements of Xanadu as of and for the three month period ended March 31, 2026 included elsewhere in this prospectus; and</w:t>
            </w:r>
          </w:p>
        </w:tc>
      </w:tr>
    </w:tbl>
    <w:p>
      <w:pPr>
        <w:pStyle w:val="TextBody"/>
        <w:bidi w:val="0"/>
        <w:spacing w:before="0" w:after="0"/>
        <w:ind w:left="945" w:right="0" w:hanging="46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section titled “</w:t>
            </w:r>
            <w:r>
              <w:rPr>
                <w:i/>
              </w:rPr>
              <w:t>Management’s Discussion and Analysis of Financial Condition and Results of Operations</w:t>
            </w:r>
            <w:r>
              <w:rPr/>
              <w:t>” included elsewhere in this prospectus.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jc w:val="center"/>
        <w:rPr/>
      </w:pPr>
      <w:r>
        <w:rPr/>
        <w:t> </w:t>
      </w:r>
    </w:p>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3, 2025, Old Xanadu entered into the Business Combination Agreement with us and CHAC. At Closing, we had three authorized classes of shares, multiple voting shares (“Class A Multiple Voting Shares”), subordinate voting shares (“Class B Subordinate Voting Shares”) and preferred shares issuable in series, of which only Class A Multiple Voting Shares and Class B Subordinate Voting Shares were issued and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was effected pursuant to the Plan of Arrangement and completed through the following steps, subject to the terms and conditions of the Business Combination Agreement and the Plan of Arrangement:</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March 20, 2026, CHAC continued from the Cayman Islands Companies Act to the OBCA, and, in connection therewith, each issued and outstanding CHAC Class A Share and CHAC Class B Share became, respectively, a CHAC Class A Share and a CHAC Class B Share of CHAC as continued, and each outstanding CHAC Right, from and after the Continuance, represented the right to receive one-tenth of one CHAC Class A Share of CHAC as continued, in each case in accordance with their terms.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At the Effective Time: (i) each outstanding Old Xanadu Preferred Share was converted into and exchanged for one Old Xanadu Voting Common Share; and (ii) one minute thereafter, (A) each outstanding Old Xanadu Voting Common Share (including those issued upon conversion of Old Xanadu Preferred Shares) was transferred to Xanadu in exchange for Class A Multiple Voting Shares, and (B) each outstanding Old Xanadu Non-Voting Common Share was transferred to us in exchange for Class B Subordinate Voting Shares, in each case, in a number equal to the Exchange Ratio (as defined in the Business Combination Agreement), with no fractional Shares issued.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One minute after the foregoing, (i) each Old Xanadu Voting Option outstanding immediately prior to the Effective Time (whether vested or unvested and notwithstanding the terms of any Old Xanadu equity incentive plan) was exchanged for an option to purchase Class A Multiple Voting Shares (“Xanadu MVS Options”) and, (ii) each Old Xanadu Non-Voting Option outstanding immediately prior to the Effective Time (whether vested or unvested and notwithstanding the terms of any Old Xanadu equity incentive plan) was exchanged for an option to purchase Class B Subordinate Voting Shares (“Xanadu SVS Options”). The number of Xanadu shares subject to each new option was determined by multiplying the number of Old Xanadu common shares subject to the original option by the Exchange Ratio (rounded down to the nearest whole share). The per-share exercise price for the new options was determined by dividing the prior exercise price by the Exchange Ratio. The strike price was converted from Canadian dollars to U.S. dollars to align with the trading of the Xanadu Class B Subordinate Voting Shares on Nasdaq.</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One minute after the foregoing, the Old Xanadu SFTrust Warrants and RBC Warrants outstanding immediately prior to the closing of the Reverse Recapitalization were exchanged for warrants to purchase Xanadu Class A Multiple Voting Shares and Class B Subordinate Voting Shares based on the Exchange Ratio and a U.S. dollar denominated strike price. </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Each issued and outstanding CHAC Right was exercised for one-tenth of a CHAC Class A Share, and each CHAC Class A Share and CHAC Class B Share was transferred to us in exchange for one Class B Subordinate Voting Share, in each case, as provided in the Plan of Arrangement.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Business Combination Agreement, we entered into subscription agreements with the PIPE Investors, pursuant to which, subject to the consummation of the Business Combination, the PIPE Investors agreed to subscribe for and purchase, and we agreed to issue and sell, Class B Subordinate Voting Shares at a purchase price of $10.00 per share for aggregate gross proceeds of approximately $275 million. The unaudited pro forma condensed combined financial information reflects the exercise by CHAC shareholders of their redemption rights with respect to 19,428,395 CHAC Class A Shares at a redemption price of approximately $10.35 per share, resulting in aggregate cash redemptions of approximately $201.1 million. As part of the Transactions, CHAC Shares were also exchanged for Class B Subordinate Voting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for the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transactions contemplated in the Business Combination Agreement represented a reverse acquisition and were accounted for as a reverse recapitalization in accordance with U.S. GAAP. Under this method of accounting, CHAC was treated as the “acquired” company for financial reporting purposes and Old Xanadu was treated as the accounting acquirer, whereas we were the legal acquirer. This determination was primarily based on evaluation of the following facts and circumstances:</w:t>
      </w:r>
    </w:p>
    <w:p>
      <w:pPr>
        <w:pStyle w:val="TextBody"/>
        <w:bidi w:val="0"/>
        <w:spacing w:before="0" w:after="0"/>
        <w:ind w:left="1035" w:right="0" w:hanging="55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Old Xanadu Shareholders had the majority of the voting interest in the combined entity as described below with an approximate 86% equity interest (99% voting control);</w:t>
            </w:r>
          </w:p>
        </w:tc>
      </w:tr>
    </w:tbl>
    <w:p>
      <w:pPr>
        <w:pStyle w:val="TextBody"/>
        <w:bidi w:val="0"/>
        <w:spacing w:before="0" w:after="0"/>
        <w:ind w:left="1035" w:right="0" w:hanging="555"/>
        <w:jc w:val="both"/>
        <w:rPr>
          <w:caps w:val="false"/>
          <w:smallCaps w:val="false"/>
        </w:rPr>
      </w:pPr>
      <w:r>
        <w:rPr>
          <w:caps w:val="false"/>
          <w:smallCaps w:val="false"/>
        </w:rPr>
        <w:t> </w:t>
      </w:r>
    </w:p>
    <w:tbl>
      <w:tblPr>
        <w:tblW w:w="6183" w:type="dxa"/>
        <w:jc w:val="left"/>
        <w:tblInd w:w="0" w:type="dxa"/>
        <w:tblLayout w:type="fixed"/>
        <w:tblCellMar>
          <w:top w:w="0" w:type="dxa"/>
          <w:left w:w="0" w:type="dxa"/>
          <w:bottom w:w="0" w:type="dxa"/>
          <w:right w:w="0" w:type="dxa"/>
        </w:tblCellMar>
      </w:tblPr>
      <w:tblGrid>
        <w:gridCol w:w="38"/>
        <w:gridCol w:w="170"/>
        <w:gridCol w:w="5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75" w:type="dxa"/>
            <w:tcBorders/>
            <w:vAlign w:val="center"/>
          </w:tcPr>
          <w:p>
            <w:pPr>
              <w:pStyle w:val="TableContents"/>
              <w:bidi w:val="0"/>
              <w:spacing w:before="0" w:after="283"/>
              <w:jc w:val="both"/>
              <w:rPr/>
            </w:pPr>
            <w:r>
              <w:rPr/>
              <w:t>Old Xanadu identified a majority of the members of the Board;</w:t>
            </w:r>
          </w:p>
        </w:tc>
      </w:tr>
    </w:tbl>
    <w:p>
      <w:pPr>
        <w:pStyle w:val="TextBody"/>
        <w:bidi w:val="0"/>
        <w:spacing w:before="0" w:after="0"/>
        <w:ind w:left="1035" w:right="0" w:hanging="55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senior management of the combined company was primarily comprised of individuals who were part of Old Xanadu’s senior management; and</w:t>
            </w:r>
          </w:p>
        </w:tc>
      </w:tr>
    </w:tbl>
    <w:p>
      <w:pPr>
        <w:pStyle w:val="TextBody"/>
        <w:bidi w:val="0"/>
        <w:spacing w:before="0" w:after="0"/>
        <w:ind w:left="1035" w:right="0" w:hanging="555"/>
        <w:jc w:val="both"/>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170"/>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both"/>
              <w:rPr/>
            </w:pPr>
            <w:r>
              <w:rPr/>
              <w:t>Old Xanadu operations comprise the ongoing operations of the combined company.</w:t>
            </w:r>
          </w:p>
        </w:tc>
      </w:tr>
    </w:tbl>
    <w:p>
      <w:pPr>
        <w:pStyle w:val="TextBody"/>
        <w:bidi w:val="0"/>
        <w:spacing w:before="0" w:after="0"/>
        <w:ind w:left="1035" w:right="0" w:hanging="55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for accounting purposes, the transactions contemplated in the Business Combination Agreement were treated as the equivalent of a capital transaction in which Old Xanadu issued shares through us for the net assets of CHAC, accompanied by a recapitalization. The net assets of CHAC were recognized at fair value, with no goodwill or other intangible assets recorded. Continuing operations prior to the Transactions are presented as those of Old Xanadu.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Earn-out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Transactions, the Sponsor and its direct and indirect investors and other investors were the holders of 7,333,333 CHAC Class B Shares. Pursuant to the terms of the Plan of Arrangement, the CHAC Class B Shares were exchanged for Class B Subordinate Voting Shares. The Sponsor subjected 1,100,000 Class B Subordinate Voting Shares (the “Earn-out Shares”) it received in the Transactions, to an earn-out based on the price of the Class B Subordinate Voting Shares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at any time during the period following the Closing and expiring on the fourth anniversary of the Closing Date (the “Vesting Term”),</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9"/>
        <w:gridCol w:w="9988"/>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(i)</w:t>
            </w:r>
          </w:p>
        </w:tc>
        <w:tc>
          <w:tcPr>
            <w:tcW w:w="9988" w:type="dxa"/>
            <w:tcBorders/>
            <w:vAlign w:val="center"/>
          </w:tcPr>
          <w:p>
            <w:pPr>
              <w:pStyle w:val="TableContents"/>
              <w:bidi w:val="0"/>
              <w:spacing w:before="0" w:after="283"/>
              <w:jc w:val="both"/>
              <w:rPr/>
            </w:pPr>
            <w:r>
              <w:rPr/>
              <w:t>550,000 of the Earn-out Shares shall be forfeited for no consideration if the share price of Class B Subordinate Voting Shares is not at least $12.50 per Class B Subordinate Voting Shares for 20 trading days within any 30 consecutive trading day period during the Vesting Term,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(ii)</w:t>
            </w:r>
          </w:p>
        </w:tc>
        <w:tc>
          <w:tcPr>
            <w:tcW w:w="9928" w:type="dxa"/>
            <w:tcBorders/>
            <w:vAlign w:val="center"/>
          </w:tcPr>
          <w:p>
            <w:pPr>
              <w:pStyle w:val="TableContents"/>
              <w:bidi w:val="0"/>
              <w:spacing w:before="0" w:after="283"/>
              <w:jc w:val="both"/>
              <w:rPr/>
            </w:pPr>
            <w:r>
              <w:rPr/>
              <w:t>550,000 additional Earn-out Shares shall be forfeited for no consideration if the share price of Class B Subordinate Voting Shares is not at least $15.00 per Class B Subordinate Voting Shares for 20 trading days within any 30 consecutive trading day period during the Vesting Term.</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Vesting is not subject to any employment conditions of the holder of the Earn-out Shares. However, in the event of (A) a merger, amalgamation, arrangement, consolidation or other business combination involving us, (B) a sale of all or substantially all of our assets, or (C) any other transaction or series of related transactions as a result of which the holders of Class B Subordinate Voting Shares immediately prior to such transaction cease to own at least a majority of our outstanding Class B Subordinate Voting Shares or our successor entity, in any case, during the Vesting Term, then, immediately prior to the consummation of such transaction, any and all Earn-out Shares shall become fully vested and shall no longer be subject to forfeiture under the Business Combination Agreement and Sponsor Letter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previous pro forma presentations, the Earn-out Shares were classified as a liability on the balance sheet and were recognized at fair value each period-end through settlement and thus were evaluated solely for potential dilutive impact on earnings per share. Upon finalization of the transaction accounting during the period ended March 31, 2026, it was determined that these shares met the criteria for inclusion in the basic earnings per share calculation. This change increased the weighted average shares outstanding for basic earnings per share by 1,100,000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Pro Forma Presentation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statements were prepared in accordance with Article 11 of SEC Regulation S-X, as amended by the final rule, Release No. 33-10786 “</w:t>
      </w:r>
      <w:r>
        <w:rPr>
          <w:rFonts w:ascii="Times New Roman;Times;Serif" w:hAnsi="Times New Roman;Times;Serif"/>
          <w:b w:val="false"/>
          <w:i/>
          <w:caps w:val="false"/>
          <w:smallCaps w:val="false"/>
          <w:sz w:val="20"/>
        </w:rPr>
        <w:t>Amendments of Financial Disclosures about Acquired and Disposed Business</w:t>
      </w:r>
      <w:r>
        <w:rPr>
          <w:rFonts w:ascii="Times New Roman;Times;Serif" w:hAnsi="Times New Roman;Times;Serif"/>
          <w:b w:val="false"/>
          <w:i w:val="false"/>
          <w:caps w:val="false"/>
          <w:smallCaps w:val="false"/>
          <w:sz w:val="20"/>
        </w:rPr>
        <w:t>.” Release No. 33-10786 replaces the historical pro forma adjustment criteria with simplified requirements to depict the accounting for the Transactions (“Transaction Adjustment</w:t>
      </w:r>
      <w:r>
        <w:rPr>
          <w:rFonts w:ascii="Times New Roman;Times;Serif" w:hAnsi="Times New Roman;Times;Serif"/>
          <w:b w:val="false"/>
          <w:i/>
          <w:caps w:val="false"/>
          <w:smallCaps w:val="false"/>
          <w:sz w:val="20"/>
        </w:rPr>
        <w:t>s</w:t>
      </w:r>
      <w:r>
        <w:rPr>
          <w:rFonts w:ascii="Times New Roman;Times;Serif" w:hAnsi="Times New Roman;Times;Serif"/>
          <w:b w:val="false"/>
          <w:i w:val="false"/>
          <w:caps w:val="false"/>
          <w:smallCaps w:val="false"/>
          <w:sz w:val="20"/>
        </w:rPr>
        <w:t>”) and present the reasonable estimate synergies and other effects related to the Transactions that have occurred or are reasonably expected to occur (“Management’s Adjustments”). We, Old Xanadu and CHAC have elected not to present Management’s Adjustments and will only be presenting Transaction Adjustments in the unaudited pro forma condensed combined financial statements. The adjustments presented in the unaudited pro forma condensed combined financial statements have been identified and presented to provide relevant information necessary for an understanding of the combined company upon consummation of the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 of operations and comprehensive loss for the year ended December 31, 2025 combines our audited historical statement of operations and comprehensive loss for the period from October 2, 2025 (inception) to December 31, 2025 and the audited historical statement of operations and comprehensive loss of Old Xanadu for the year ended December 31, 2025 and the audited historical statement of operations of CHAC for the period from January 2, 2025 (inception) to December 31, 2025, and gives effect to the Transactions as if they had been consummated on January 1, 2025. The unaudited pro forma condensed combined statement of operations and comprehensive loss for the three month period ended March 31, 2026 combines our historical unaudited condensed consolidated statement of operations and comprehensive loss for the three month period ended March 31, 2026, and the unaudited historical statement of operations and comprehensive loss of Old Xanadu for the period from January 1, 2026 to March 26, 2026, and the unaudited historical statement of operations of CHAC for the period from January 1, 2026 to March 26, 2026, and gives effect to the Transactions as if they had been consummated on January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reflecting the consummation of the Transactions are based on certain currently available information and certain assumptions and methodologies that we, Old Xanadu and CHAC believe are reasonable under the circumstances. The pro forma adjustments, which are described in the accompanying notes, may be revised as additional information becomes available and is evaluated. We, Old Xanadu and CHAC believe that our assumptions and methodologies provide a reasonable basis for presenting all the significant effects of the Transactions based on information available to management at this time and that the pro forma adjustments give appropriate effect to those assumptions and are properly applied in the unaudited pro forma condensed combined financial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does not give effect to any anticipated synergies, operating efficiencies, tax savings, or cost savings that may be associated with the Transactions. We, Old Xanadu and CHAC have not had any historical relationship prior to the Transactions. Accordingly, no pro forma adjustments were required to eliminate activities between the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Included in the weighted average shares outstanding as presented in the unaudited pro forma condensed combined financial statements were our Shares issued to Old Xanadu Shareholders at Closing, the Class B Subordinate Voting Shares issued to CHAC Shareholders (excluding the Sponsor), the Class B Subordinate Voting Shares issued in respect of the Sponsor Shares (including the Earn-out Shares), and the Class B Subordinate Voting Shares issued to PIPE Investors. The share count as of January 1, 2025 was assumed to be the total balance of shares outstanding as of December 31, 2025, including the assumption that all share options exercised during the year ended December 31, 2025 occurred on January 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2025</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9"/>
        <w:gridCol w:w="60"/>
        <w:gridCol w:w="360"/>
        <w:gridCol w:w="980"/>
        <w:gridCol w:w="95"/>
        <w:gridCol w:w="60"/>
        <w:gridCol w:w="210"/>
        <w:gridCol w:w="1138"/>
        <w:gridCol w:w="95"/>
        <w:gridCol w:w="60"/>
        <w:gridCol w:w="140"/>
        <w:gridCol w:w="1100"/>
        <w:gridCol w:w="95"/>
        <w:gridCol w:w="60"/>
        <w:gridCol w:w="204"/>
        <w:gridCol w:w="1106"/>
        <w:gridCol w:w="95"/>
        <w:gridCol w:w="226"/>
        <w:gridCol w:w="60"/>
        <w:gridCol w:w="140"/>
        <w:gridCol w:w="1225"/>
        <w:gridCol w:w="167"/>
      </w:tblGrid>
      <w:tr>
        <w:trPr/>
        <w:tc>
          <w:tcPr>
            <w:tcW w:w="2529"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Xanadu</w:t>
              <w:br/>
              <w:t>Quantum</w:t>
              <w:br/>
              <w:t>Technologies</w:t>
              <w:br/>
              <w:t>Limited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Xanadu</w:t>
              <w:br/>
              <w:t>Quantum</w:t>
              <w:br/>
              <w:t xml:space="preserve">Technologies </w:t>
              <w:br/>
              <w:t>Inc.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Crane</w:t>
              <w:br/>
              <w:t>Harbor</w:t>
              <w:br/>
              <w:t>Acquisition</w:t>
              <w:br/>
              <w:t>Corp.</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Transaction</w:t>
              <w:br/>
              <w:t>Accounting</w:t>
              <w:br/>
              <w:t>Adjustments</w:t>
            </w:r>
          </w:p>
        </w:tc>
        <w:tc>
          <w:tcPr>
            <w:tcW w:w="321"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Xanadu</w:t>
              <w:br/>
              <w:t>Quantum</w:t>
              <w:br/>
              <w:t xml:space="preserve">Technologies </w:t>
              <w:br/>
              <w:t xml:space="preserve">Limited </w:t>
              <w:br/>
              <w:t>Pro Forma</w:t>
            </w:r>
          </w:p>
        </w:tc>
        <w:tc>
          <w:tcPr>
            <w:tcW w:w="167" w:type="dxa"/>
            <w:tcBorders/>
            <w:vAlign w:val="center"/>
          </w:tcPr>
          <w:p>
            <w:pPr>
              <w:pStyle w:val="TableContents"/>
              <w:bidi w:val="0"/>
              <w:spacing w:before="0" w:after="283"/>
              <w:ind w:left="0" w:right="0" w:hanging="180"/>
              <w:jc w:val="left"/>
              <w:rPr/>
            </w:pPr>
            <w:r>
              <w:rPr/>
              <w:t> </w:t>
            </w:r>
          </w:p>
        </w:tc>
      </w:tr>
      <w:tr>
        <w:trPr/>
        <w:tc>
          <w:tcPr>
            <w:tcW w:w="2529"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138" w:type="dxa"/>
            <w:tcBorders/>
            <w:shd w:fill="CCEEFF" w:val="clear"/>
            <w:vAlign w:val="center"/>
          </w:tcPr>
          <w:p>
            <w:pPr>
              <w:pStyle w:val="TableContents"/>
              <w:bidi w:val="0"/>
              <w:spacing w:before="0" w:after="283"/>
              <w:jc w:val="right"/>
              <w:rPr/>
            </w:pPr>
            <w:r>
              <w:rPr/>
              <w:t>4,617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321"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4,617</w:t>
            </w:r>
          </w:p>
        </w:tc>
        <w:tc>
          <w:tcPr>
            <w:tcW w:w="167" w:type="dxa"/>
            <w:tcBorders/>
            <w:shd w:fill="CCEEFF" w:val="clear"/>
            <w:vAlign w:val="center"/>
          </w:tcPr>
          <w:p>
            <w:pPr>
              <w:pStyle w:val="TableContents"/>
              <w:bidi w:val="0"/>
              <w:spacing w:before="0" w:after="283"/>
              <w:ind w:left="0" w:right="0" w:hanging="180"/>
              <w:jc w:val="left"/>
              <w:rPr/>
            </w:pPr>
            <w:r>
              <w:rPr/>
              <w:t> </w:t>
            </w:r>
          </w:p>
        </w:tc>
      </w:tr>
      <w:tr>
        <w:trPr/>
        <w:tc>
          <w:tcPr>
            <w:tcW w:w="2529"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321"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ind w:left="0" w:right="0" w:hanging="180"/>
              <w:jc w:val="left"/>
              <w:rPr/>
            </w:pPr>
            <w:r>
              <w:rPr/>
              <w:t> </w:t>
            </w:r>
          </w:p>
        </w:tc>
      </w:tr>
      <w:tr>
        <w:trPr/>
        <w:tc>
          <w:tcPr>
            <w:tcW w:w="2529" w:type="dxa"/>
            <w:tcBorders/>
            <w:shd w:fill="CCEEFF" w:val="clear"/>
            <w:vAlign w:val="center"/>
          </w:tcPr>
          <w:p>
            <w:pPr>
              <w:pStyle w:val="TableContents"/>
              <w:bidi w:val="0"/>
              <w:spacing w:before="0" w:after="283"/>
              <w:jc w:val="left"/>
              <w:rPr/>
            </w:pPr>
            <w:r>
              <w:rPr/>
              <w:t>Cost of revenue (exclusive of depreciation and amortization below)</w:t>
            </w:r>
          </w:p>
        </w:tc>
        <w:tc>
          <w:tcPr>
            <w:tcW w:w="60"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361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321"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361</w:t>
            </w:r>
          </w:p>
        </w:tc>
        <w:tc>
          <w:tcPr>
            <w:tcW w:w="167" w:type="dxa"/>
            <w:tcBorders/>
            <w:shd w:fill="CCEEFF" w:val="clear"/>
            <w:vAlign w:val="center"/>
          </w:tcPr>
          <w:p>
            <w:pPr>
              <w:pStyle w:val="TableContents"/>
              <w:bidi w:val="0"/>
              <w:spacing w:before="0" w:after="283"/>
              <w:ind w:left="0" w:right="0" w:hanging="180"/>
              <w:jc w:val="left"/>
              <w:rPr/>
            </w:pPr>
            <w:r>
              <w:rPr/>
              <w:t> </w:t>
            </w:r>
          </w:p>
        </w:tc>
      </w:tr>
      <w:tr>
        <w:trPr/>
        <w:tc>
          <w:tcPr>
            <w:tcW w:w="2529"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pPr>
            <w:r>
              <w:rPr/>
              <w:t>55,237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321"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55,237</w:t>
            </w:r>
          </w:p>
        </w:tc>
        <w:tc>
          <w:tcPr>
            <w:tcW w:w="167" w:type="dxa"/>
            <w:tcBorders/>
            <w:shd w:fill="FFFFFF" w:val="clear"/>
            <w:vAlign w:val="center"/>
          </w:tcPr>
          <w:p>
            <w:pPr>
              <w:pStyle w:val="TableContents"/>
              <w:bidi w:val="0"/>
              <w:spacing w:before="0" w:after="283"/>
              <w:ind w:left="0" w:right="0" w:hanging="180"/>
              <w:jc w:val="left"/>
              <w:rPr/>
            </w:pPr>
            <w:r>
              <w:rPr/>
              <w:t> </w:t>
            </w:r>
          </w:p>
        </w:tc>
      </w:tr>
      <w:tr>
        <w:trPr/>
        <w:tc>
          <w:tcPr>
            <w:tcW w:w="2529"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15,415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6,270</w:t>
            </w:r>
          </w:p>
        </w:tc>
        <w:tc>
          <w:tcPr>
            <w:tcW w:w="95" w:type="dxa"/>
            <w:tcBorders/>
            <w:shd w:fill="CCEEFF" w:val="clear"/>
            <w:vAlign w:val="center"/>
          </w:tcPr>
          <w:p>
            <w:pPr>
              <w:pStyle w:val="TableContents"/>
              <w:bidi w:val="0"/>
              <w:spacing w:before="0" w:after="283"/>
              <w:jc w:val="center"/>
              <w:rPr/>
            </w:pPr>
            <w:r>
              <w:rPr/>
              <w:t> </w:t>
            </w:r>
          </w:p>
        </w:tc>
        <w:tc>
          <w:tcPr>
            <w:tcW w:w="226" w:type="dxa"/>
            <w:tcBorders/>
            <w:shd w:fill="CCEEFF" w:val="clear"/>
            <w:vAlign w:val="center"/>
          </w:tcPr>
          <w:p>
            <w:pPr>
              <w:pStyle w:val="TableContents"/>
              <w:bidi w:val="0"/>
              <w:spacing w:before="0" w:after="283"/>
              <w:jc w:val="center"/>
              <w:rPr/>
            </w:pPr>
            <w:r>
              <w:rPr/>
              <w:t>(a)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24,209</w:t>
            </w:r>
          </w:p>
        </w:tc>
        <w:tc>
          <w:tcPr>
            <w:tcW w:w="167" w:type="dxa"/>
            <w:tcBorders/>
            <w:shd w:fill="CCEEFF" w:val="clear"/>
            <w:vAlign w:val="center"/>
          </w:tcPr>
          <w:p>
            <w:pPr>
              <w:pStyle w:val="TableContents"/>
              <w:bidi w:val="0"/>
              <w:spacing w:before="0" w:after="283"/>
              <w:ind w:left="0" w:right="0" w:hanging="180"/>
              <w:jc w:val="left"/>
              <w:rPr/>
            </w:pPr>
            <w:r>
              <w:rPr/>
              <w:t> </w:t>
            </w:r>
          </w:p>
        </w:tc>
      </w:tr>
      <w:tr>
        <w:trPr/>
        <w:tc>
          <w:tcPr>
            <w:tcW w:w="2529"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pPr>
            <w:r>
              <w:rPr/>
              <w:t>1,190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321"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1,190</w:t>
            </w:r>
          </w:p>
        </w:tc>
        <w:tc>
          <w:tcPr>
            <w:tcW w:w="167" w:type="dxa"/>
            <w:tcBorders/>
            <w:shd w:fill="FFFFFF" w:val="clear"/>
            <w:vAlign w:val="center"/>
          </w:tcPr>
          <w:p>
            <w:pPr>
              <w:pStyle w:val="TableContents"/>
              <w:bidi w:val="0"/>
              <w:spacing w:before="0" w:after="283"/>
              <w:ind w:left="0" w:right="0" w:hanging="180"/>
              <w:jc w:val="left"/>
              <w:rPr/>
            </w:pPr>
            <w:r>
              <w:rPr/>
              <w:t> </w:t>
            </w:r>
          </w:p>
        </w:tc>
      </w:tr>
      <w:tr>
        <w:trPr/>
        <w:tc>
          <w:tcPr>
            <w:tcW w:w="2529"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5,849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321"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5,849</w:t>
            </w:r>
          </w:p>
        </w:tc>
        <w:tc>
          <w:tcPr>
            <w:tcW w:w="167" w:type="dxa"/>
            <w:tcBorders/>
            <w:shd w:fill="CCEEFF" w:val="clear"/>
            <w:vAlign w:val="center"/>
          </w:tcPr>
          <w:p>
            <w:pPr>
              <w:pStyle w:val="TableContents"/>
              <w:bidi w:val="0"/>
              <w:spacing w:before="0" w:after="283"/>
              <w:ind w:left="0" w:right="0" w:hanging="180"/>
              <w:jc w:val="left"/>
              <w:rPr/>
            </w:pPr>
            <w:r>
              <w:rPr/>
              <w:t> </w:t>
            </w:r>
          </w:p>
        </w:tc>
      </w:tr>
      <w:tr>
        <w:trPr/>
        <w:tc>
          <w:tcPr>
            <w:tcW w:w="2529" w:type="dxa"/>
            <w:tcBorders/>
            <w:shd w:fill="FFFFFF" w:val="clear"/>
            <w:vAlign w:val="center"/>
          </w:tcPr>
          <w:p>
            <w:pPr>
              <w:pStyle w:val="TableContents"/>
              <w:bidi w:val="0"/>
              <w:spacing w:before="0" w:after="283"/>
              <w:jc w:val="left"/>
              <w:rPr/>
            </w:pPr>
            <w:r>
              <w:rPr/>
              <w:t>Other operating (income) expense, net</w:t>
            </w:r>
          </w:p>
        </w:tc>
        <w:tc>
          <w:tcPr>
            <w:tcW w:w="60" w:type="dxa"/>
            <w:tcBorders/>
            <w:shd w:fill="FFFFFF" w:val="clear"/>
            <w:vAlign w:val="center"/>
          </w:tcPr>
          <w:p>
            <w:pPr>
              <w:pStyle w:val="TableContents"/>
              <w:bidi w:val="0"/>
              <w:spacing w:before="0" w:after="283"/>
              <w:jc w:val="left"/>
              <w:rPr/>
            </w:pPr>
            <w:r>
              <w:rPr/>
              <w:t> </w:t>
            </w:r>
          </w:p>
        </w:tc>
        <w:tc>
          <w:tcPr>
            <w:tcW w:w="3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8" w:type="dxa"/>
            <w:tcBorders>
              <w:bottom w:val="single" w:sz="12" w:space="0" w:color="000000"/>
            </w:tcBorders>
            <w:shd w:fill="FFFFFF" w:val="clear"/>
            <w:tcMar>
              <w:bottom w:w="28" w:type="dxa"/>
            </w:tcMar>
            <w:vAlign w:val="center"/>
          </w:tcPr>
          <w:p>
            <w:pPr>
              <w:pStyle w:val="TableContents"/>
              <w:bidi w:val="0"/>
              <w:spacing w:before="0" w:after="283"/>
              <w:jc w:val="right"/>
              <w:rPr/>
            </w:pPr>
            <w:r>
              <w:rPr/>
              <w:t>(4,113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shd w:fill="FFFFFF" w:val="clear"/>
            <w:tcMar>
              <w:bottom w:w="28" w:type="dxa"/>
            </w:tcMar>
            <w:vAlign w:val="center"/>
          </w:tcPr>
          <w:p>
            <w:pPr>
              <w:pStyle w:val="TableContents"/>
              <w:bidi w:val="0"/>
              <w:spacing w:before="0" w:after="283"/>
              <w:jc w:val="right"/>
              <w:rPr/>
            </w:pPr>
            <w:r>
              <w:rPr/>
              <w:t>(1,616</w:t>
            </w:r>
          </w:p>
        </w:tc>
        <w:tc>
          <w:tcPr>
            <w:tcW w:w="95" w:type="dxa"/>
            <w:tcBorders/>
            <w:shd w:fill="FFFFFF" w:val="clear"/>
            <w:vAlign w:val="center"/>
          </w:tcPr>
          <w:p>
            <w:pPr>
              <w:pStyle w:val="TableContents"/>
              <w:bidi w:val="0"/>
              <w:spacing w:before="0" w:after="283"/>
              <w:jc w:val="center"/>
              <w:rPr/>
            </w:pPr>
            <w:r>
              <w:rPr/>
              <w:t>)</w:t>
            </w:r>
          </w:p>
        </w:tc>
        <w:tc>
          <w:tcPr>
            <w:tcW w:w="226" w:type="dxa"/>
            <w:tcBorders/>
            <w:shd w:fill="FFFFFF" w:val="clear"/>
            <w:vAlign w:val="center"/>
          </w:tcPr>
          <w:p>
            <w:pPr>
              <w:pStyle w:val="TableContents"/>
              <w:bidi w:val="0"/>
              <w:spacing w:before="0" w:after="283"/>
              <w:jc w:val="center"/>
              <w:rPr/>
            </w:pPr>
            <w:r>
              <w:rPr/>
              <w:t>(b)</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pPr>
            <w:r>
              <w:rPr/>
              <w:t>(5,729</w:t>
            </w:r>
          </w:p>
        </w:tc>
        <w:tc>
          <w:tcPr>
            <w:tcW w:w="167" w:type="dxa"/>
            <w:tcBorders/>
            <w:shd w:fill="FFFFFF" w:val="clear"/>
            <w:vAlign w:val="center"/>
          </w:tcPr>
          <w:p>
            <w:pPr>
              <w:pStyle w:val="TableContents"/>
              <w:bidi w:val="0"/>
              <w:spacing w:before="0" w:after="283"/>
              <w:ind w:left="0" w:right="0" w:hanging="180"/>
              <w:jc w:val="left"/>
              <w:rPr/>
            </w:pPr>
            <w:r>
              <w:rPr/>
              <w:t>)</w:t>
            </w:r>
          </w:p>
        </w:tc>
      </w:tr>
      <w:tr>
        <w:trPr/>
        <w:tc>
          <w:tcPr>
            <w:tcW w:w="2529"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3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8" w:type="dxa"/>
            <w:tcBorders>
              <w:bottom w:val="single" w:sz="12" w:space="0" w:color="000000"/>
            </w:tcBorders>
            <w:shd w:fill="CCEEFF" w:val="clear"/>
            <w:tcMar>
              <w:bottom w:w="28" w:type="dxa"/>
            </w:tcMar>
            <w:vAlign w:val="center"/>
          </w:tcPr>
          <w:p>
            <w:pPr>
              <w:pStyle w:val="TableContents"/>
              <w:bidi w:val="0"/>
              <w:spacing w:before="0" w:after="283"/>
              <w:jc w:val="right"/>
              <w:rPr/>
            </w:pPr>
            <w:r>
              <w:rPr/>
              <w:t>73,939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2,512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shd w:fill="CCEEFF" w:val="clear"/>
            <w:tcMar>
              <w:bottom w:w="28" w:type="dxa"/>
            </w:tcMar>
            <w:vAlign w:val="center"/>
          </w:tcPr>
          <w:p>
            <w:pPr>
              <w:pStyle w:val="TableContents"/>
              <w:bidi w:val="0"/>
              <w:spacing w:before="0" w:after="283"/>
              <w:jc w:val="right"/>
              <w:rPr/>
            </w:pPr>
            <w:r>
              <w:rPr/>
              <w:t>4,654</w:t>
            </w:r>
          </w:p>
        </w:tc>
        <w:tc>
          <w:tcPr>
            <w:tcW w:w="321"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81,117</w:t>
            </w:r>
          </w:p>
        </w:tc>
        <w:tc>
          <w:tcPr>
            <w:tcW w:w="167" w:type="dxa"/>
            <w:tcBorders/>
            <w:shd w:fill="CCEEFF" w:val="clear"/>
            <w:vAlign w:val="center"/>
          </w:tcPr>
          <w:p>
            <w:pPr>
              <w:pStyle w:val="TableContents"/>
              <w:bidi w:val="0"/>
              <w:spacing w:before="0" w:after="283"/>
              <w:ind w:left="0" w:right="0" w:hanging="180"/>
              <w:jc w:val="left"/>
              <w:rPr/>
            </w:pPr>
            <w:r>
              <w:rPr/>
              <w:t> </w:t>
            </w:r>
          </w:p>
        </w:tc>
      </w:tr>
      <w:tr>
        <w:trPr/>
        <w:tc>
          <w:tcPr>
            <w:tcW w:w="2529"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pPr>
            <w:r>
              <w:rPr/>
              <w:t>(69,322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(4,654</w:t>
            </w:r>
          </w:p>
        </w:tc>
        <w:tc>
          <w:tcPr>
            <w:tcW w:w="321" w:type="dxa"/>
            <w:gridSpan w:val="2"/>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(76,500</w:t>
            </w:r>
          </w:p>
        </w:tc>
        <w:tc>
          <w:tcPr>
            <w:tcW w:w="167" w:type="dxa"/>
            <w:tcBorders/>
            <w:shd w:fill="FFFFFF" w:val="clear"/>
            <w:vAlign w:val="center"/>
          </w:tcPr>
          <w:p>
            <w:pPr>
              <w:pStyle w:val="TableContents"/>
              <w:bidi w:val="0"/>
              <w:spacing w:before="0" w:after="283"/>
              <w:ind w:left="0" w:right="0" w:hanging="180"/>
              <w:jc w:val="left"/>
              <w:rPr/>
            </w:pPr>
            <w:r>
              <w:rPr/>
              <w:t>)</w:t>
            </w:r>
          </w:p>
        </w:tc>
      </w:tr>
      <w:tr>
        <w:trPr/>
        <w:tc>
          <w:tcPr>
            <w:tcW w:w="25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321"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167" w:type="dxa"/>
            <w:tcBorders/>
            <w:shd w:fill="CCEEFF" w:val="clear"/>
            <w:vAlign w:val="center"/>
          </w:tcPr>
          <w:p>
            <w:pPr>
              <w:pStyle w:val="TableContents"/>
              <w:bidi w:val="0"/>
              <w:spacing w:before="0" w:after="283"/>
              <w:ind w:left="0" w:right="0" w:hanging="180"/>
              <w:jc w:val="left"/>
              <w:rPr/>
            </w:pPr>
            <w:r>
              <w:rPr/>
              <w:t> </w:t>
            </w:r>
          </w:p>
        </w:tc>
      </w:tr>
      <w:tr>
        <w:trPr/>
        <w:tc>
          <w:tcPr>
            <w:tcW w:w="2529" w:type="dxa"/>
            <w:tcBorders/>
            <w:shd w:fill="FFFFFF" w:val="clear"/>
            <w:vAlign w:val="center"/>
          </w:tcPr>
          <w:p>
            <w:pPr>
              <w:pStyle w:val="TableContents"/>
              <w:bidi w:val="0"/>
              <w:spacing w:before="0" w:after="283"/>
              <w:jc w:val="left"/>
              <w:rPr>
                <w:b/>
              </w:rPr>
            </w:pPr>
            <w:r>
              <w:rPr>
                <w:b/>
              </w:rPr>
              <w:t>Other income (expense), net:</w:t>
            </w:r>
          </w:p>
        </w:tc>
        <w:tc>
          <w:tcPr>
            <w:tcW w:w="60"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321"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ind w:left="0" w:right="0" w:hanging="180"/>
              <w:jc w:val="left"/>
              <w:rPr/>
            </w:pPr>
            <w:r>
              <w:rPr/>
              <w:t> </w:t>
            </w:r>
          </w:p>
        </w:tc>
      </w:tr>
      <w:tr>
        <w:trPr/>
        <w:tc>
          <w:tcPr>
            <w:tcW w:w="2529" w:type="dxa"/>
            <w:tcBorders/>
            <w:shd w:fill="CCEEFF" w:val="clear"/>
            <w:vAlign w:val="center"/>
          </w:tcPr>
          <w:p>
            <w:pPr>
              <w:pStyle w:val="TableContents"/>
              <w:bidi w:val="0"/>
              <w:spacing w:before="0" w:after="283"/>
              <w:jc w:val="left"/>
              <w:rPr/>
            </w:pPr>
            <w:r>
              <w:rPr/>
              <w:t>Interest income (expense), net</w:t>
            </w:r>
          </w:p>
        </w:tc>
        <w:tc>
          <w:tcPr>
            <w:tcW w:w="60"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1,209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321"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1,209</w:t>
            </w:r>
          </w:p>
        </w:tc>
        <w:tc>
          <w:tcPr>
            <w:tcW w:w="167" w:type="dxa"/>
            <w:tcBorders/>
            <w:shd w:fill="CCEEFF" w:val="clear"/>
            <w:vAlign w:val="center"/>
          </w:tcPr>
          <w:p>
            <w:pPr>
              <w:pStyle w:val="TableContents"/>
              <w:bidi w:val="0"/>
              <w:spacing w:before="0" w:after="283"/>
              <w:ind w:left="0" w:right="0" w:hanging="180"/>
              <w:jc w:val="left"/>
              <w:rPr/>
            </w:pPr>
            <w:r>
              <w:rPr/>
              <w:t> </w:t>
            </w:r>
          </w:p>
        </w:tc>
      </w:tr>
      <w:tr>
        <w:trPr/>
        <w:tc>
          <w:tcPr>
            <w:tcW w:w="2529" w:type="dxa"/>
            <w:tcBorders/>
            <w:shd w:fill="FFFFFF" w:val="clear"/>
            <w:vAlign w:val="center"/>
          </w:tcPr>
          <w:p>
            <w:pPr>
              <w:pStyle w:val="TableContents"/>
              <w:bidi w:val="0"/>
              <w:spacing w:before="0" w:after="283"/>
              <w:jc w:val="left"/>
              <w:rPr/>
            </w:pPr>
            <w:r>
              <w:rPr/>
              <w:t>Interest earned on investments held in Trust Account</w:t>
            </w:r>
          </w:p>
        </w:tc>
        <w:tc>
          <w:tcPr>
            <w:tcW w:w="60"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(6,097</w:t>
            </w:r>
          </w:p>
        </w:tc>
        <w:tc>
          <w:tcPr>
            <w:tcW w:w="95" w:type="dxa"/>
            <w:tcBorders/>
            <w:shd w:fill="FFFFFF" w:val="clear"/>
            <w:vAlign w:val="center"/>
          </w:tcPr>
          <w:p>
            <w:pPr>
              <w:pStyle w:val="TableContents"/>
              <w:bidi w:val="0"/>
              <w:spacing w:before="0" w:after="283"/>
              <w:jc w:val="center"/>
              <w:rPr/>
            </w:pPr>
            <w:r>
              <w:rPr/>
              <w:t>)</w:t>
            </w:r>
          </w:p>
        </w:tc>
        <w:tc>
          <w:tcPr>
            <w:tcW w:w="226" w:type="dxa"/>
            <w:tcBorders/>
            <w:shd w:fill="FFFFFF" w:val="clear"/>
            <w:vAlign w:val="center"/>
          </w:tcPr>
          <w:p>
            <w:pPr>
              <w:pStyle w:val="TableContents"/>
              <w:bidi w:val="0"/>
              <w:spacing w:before="0" w:after="283"/>
              <w:jc w:val="center"/>
              <w:rPr/>
            </w:pPr>
            <w:r>
              <w:rPr/>
              <w:t>(c)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ind w:left="0" w:right="0" w:hanging="180"/>
              <w:jc w:val="left"/>
              <w:rPr/>
            </w:pPr>
            <w:r>
              <w:rPr/>
              <w:t> </w:t>
            </w:r>
          </w:p>
        </w:tc>
      </w:tr>
      <w:tr>
        <w:trPr/>
        <w:tc>
          <w:tcPr>
            <w:tcW w:w="2529"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3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8" w:type="dxa"/>
            <w:tcBorders>
              <w:bottom w:val="single" w:sz="12" w:space="0" w:color="000000"/>
            </w:tcBorders>
            <w:shd w:fill="CCEEFF" w:val="clear"/>
            <w:tcMar>
              <w:bottom w:w="28" w:type="dxa"/>
            </w:tcMar>
            <w:vAlign w:val="center"/>
          </w:tcPr>
          <w:p>
            <w:pPr>
              <w:pStyle w:val="TableContents"/>
              <w:bidi w:val="0"/>
              <w:spacing w:before="0" w:after="283"/>
              <w:jc w:val="right"/>
              <w:rPr/>
            </w:pPr>
            <w:r>
              <w:rPr/>
              <w:t>(2,554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321"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(2,554</w:t>
            </w:r>
          </w:p>
        </w:tc>
        <w:tc>
          <w:tcPr>
            <w:tcW w:w="167" w:type="dxa"/>
            <w:tcBorders/>
            <w:shd w:fill="CCEEFF" w:val="clear"/>
            <w:vAlign w:val="center"/>
          </w:tcPr>
          <w:p>
            <w:pPr>
              <w:pStyle w:val="TableContents"/>
              <w:bidi w:val="0"/>
              <w:spacing w:before="0" w:after="283"/>
              <w:ind w:left="0" w:right="0" w:hanging="180"/>
              <w:jc w:val="left"/>
              <w:rPr/>
            </w:pPr>
            <w:r>
              <w:rPr/>
              <w:t>)</w:t>
            </w:r>
          </w:p>
        </w:tc>
      </w:tr>
      <w:tr>
        <w:trPr/>
        <w:tc>
          <w:tcPr>
            <w:tcW w:w="2529" w:type="dxa"/>
            <w:tcBorders/>
            <w:shd w:fill="FFFFFF" w:val="clear"/>
            <w:vAlign w:val="center"/>
          </w:tcPr>
          <w:p>
            <w:pPr>
              <w:pStyle w:val="TableContents"/>
              <w:bidi w:val="0"/>
              <w:spacing w:before="0" w:after="283"/>
              <w:jc w:val="left"/>
              <w:rPr/>
            </w:pPr>
            <w:r>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3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8" w:type="dxa"/>
            <w:tcBorders>
              <w:bottom w:val="single" w:sz="12" w:space="0" w:color="000000"/>
            </w:tcBorders>
            <w:shd w:fill="FFFFFF" w:val="clear"/>
            <w:tcMar>
              <w:bottom w:w="28" w:type="dxa"/>
            </w:tcMar>
            <w:vAlign w:val="center"/>
          </w:tcPr>
          <w:p>
            <w:pPr>
              <w:pStyle w:val="TableContents"/>
              <w:bidi w:val="0"/>
              <w:spacing w:before="0" w:after="283"/>
              <w:jc w:val="right"/>
              <w:rPr/>
            </w:pPr>
            <w:r>
              <w:rPr/>
              <w:t>(1,345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6,097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shd w:fill="FFFFFF" w:val="clear"/>
            <w:tcMar>
              <w:bottom w:w="28" w:type="dxa"/>
            </w:tcMar>
            <w:vAlign w:val="center"/>
          </w:tcPr>
          <w:p>
            <w:pPr>
              <w:pStyle w:val="TableContents"/>
              <w:bidi w:val="0"/>
              <w:spacing w:before="0" w:after="283"/>
              <w:jc w:val="right"/>
              <w:rPr/>
            </w:pPr>
            <w:r>
              <w:rPr/>
              <w:t>(6,097</w:t>
            </w:r>
          </w:p>
        </w:tc>
        <w:tc>
          <w:tcPr>
            <w:tcW w:w="321" w:type="dxa"/>
            <w:gridSpan w:val="2"/>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pPr>
            <w:r>
              <w:rPr/>
              <w:t>(1,345</w:t>
            </w:r>
          </w:p>
        </w:tc>
        <w:tc>
          <w:tcPr>
            <w:tcW w:w="167" w:type="dxa"/>
            <w:tcBorders/>
            <w:shd w:fill="FFFFFF" w:val="clear"/>
            <w:vAlign w:val="center"/>
          </w:tcPr>
          <w:p>
            <w:pPr>
              <w:pStyle w:val="TableContents"/>
              <w:bidi w:val="0"/>
              <w:spacing w:before="0" w:after="283"/>
              <w:ind w:left="0" w:right="0" w:hanging="180"/>
              <w:jc w:val="left"/>
              <w:rPr/>
            </w:pPr>
            <w:r>
              <w:rPr/>
              <w:t>)</w:t>
            </w:r>
          </w:p>
        </w:tc>
      </w:tr>
      <w:tr>
        <w:trPr/>
        <w:tc>
          <w:tcPr>
            <w:tcW w:w="2529"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(70,667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(10,751</w:t>
            </w:r>
          </w:p>
        </w:tc>
        <w:tc>
          <w:tcPr>
            <w:tcW w:w="321" w:type="dxa"/>
            <w:gridSpan w:val="2"/>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(77,845</w:t>
            </w:r>
          </w:p>
        </w:tc>
        <w:tc>
          <w:tcPr>
            <w:tcW w:w="167" w:type="dxa"/>
            <w:tcBorders/>
            <w:shd w:fill="CCEEFF" w:val="clear"/>
            <w:vAlign w:val="center"/>
          </w:tcPr>
          <w:p>
            <w:pPr>
              <w:pStyle w:val="TableContents"/>
              <w:bidi w:val="0"/>
              <w:spacing w:before="0" w:after="283"/>
              <w:ind w:left="0" w:right="0" w:hanging="180"/>
              <w:jc w:val="left"/>
              <w:rPr/>
            </w:pPr>
            <w:r>
              <w:rPr/>
              <w:t>)</w:t>
            </w:r>
          </w:p>
        </w:tc>
      </w:tr>
      <w:tr>
        <w:trPr/>
        <w:tc>
          <w:tcPr>
            <w:tcW w:w="2529" w:type="dxa"/>
            <w:tcBorders/>
            <w:shd w:fill="FFFFFF" w:val="clear"/>
            <w:vAlign w:val="center"/>
          </w:tcPr>
          <w:p>
            <w:pPr>
              <w:pStyle w:val="TableContents"/>
              <w:bidi w:val="0"/>
              <w:spacing w:before="0" w:after="283"/>
              <w:jc w:val="left"/>
              <w:rPr/>
            </w:pPr>
            <w:r>
              <w:rPr/>
              <w:t>Net (loss) per share, basic and diluted</w:t>
            </w:r>
          </w:p>
        </w:tc>
        <w:tc>
          <w:tcPr>
            <w:tcW w:w="60"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321"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(0.26</w:t>
            </w:r>
          </w:p>
        </w:tc>
        <w:tc>
          <w:tcPr>
            <w:tcW w:w="167" w:type="dxa"/>
            <w:tcBorders/>
            <w:shd w:fill="FFFFFF" w:val="clear"/>
            <w:vAlign w:val="center"/>
          </w:tcPr>
          <w:p>
            <w:pPr>
              <w:pStyle w:val="TableContents"/>
              <w:bidi w:val="0"/>
              <w:spacing w:before="0" w:after="283"/>
              <w:ind w:left="0" w:right="0" w:hanging="180"/>
              <w:jc w:val="left"/>
              <w:rPr/>
            </w:pPr>
            <w:r>
              <w:rPr/>
              <w:t>)(d)</w:t>
            </w:r>
          </w:p>
        </w:tc>
      </w:tr>
      <w:tr>
        <w:trPr/>
        <w:tc>
          <w:tcPr>
            <w:tcW w:w="2529" w:type="dxa"/>
            <w:tcBorders/>
            <w:shd w:fill="CCEEFF" w:val="clear"/>
            <w:vAlign w:val="center"/>
          </w:tcPr>
          <w:p>
            <w:pPr>
              <w:pStyle w:val="TableContents"/>
              <w:bidi w:val="0"/>
              <w:spacing w:before="0" w:after="283"/>
              <w:jc w:val="left"/>
              <w:rPr/>
            </w:pPr>
            <w:r>
              <w:rPr/>
              <w:t>Basic net income per share, Class A ordinary shares</w:t>
            </w:r>
          </w:p>
        </w:tc>
        <w:tc>
          <w:tcPr>
            <w:tcW w:w="60"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321"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167" w:type="dxa"/>
            <w:tcBorders/>
            <w:shd w:fill="CCEEFF" w:val="clear"/>
            <w:vAlign w:val="center"/>
          </w:tcPr>
          <w:p>
            <w:pPr>
              <w:pStyle w:val="TableContents"/>
              <w:bidi w:val="0"/>
              <w:spacing w:before="0" w:after="283"/>
              <w:ind w:left="0" w:right="0" w:hanging="180"/>
              <w:jc w:val="left"/>
              <w:rPr/>
            </w:pPr>
            <w:r>
              <w:rPr/>
              <w:t> </w:t>
            </w:r>
          </w:p>
        </w:tc>
      </w:tr>
      <w:tr>
        <w:trPr/>
        <w:tc>
          <w:tcPr>
            <w:tcW w:w="2529" w:type="dxa"/>
            <w:tcBorders/>
            <w:shd w:fill="FFFFFF" w:val="clear"/>
            <w:vAlign w:val="center"/>
          </w:tcPr>
          <w:p>
            <w:pPr>
              <w:pStyle w:val="TableContents"/>
              <w:bidi w:val="0"/>
              <w:spacing w:before="0" w:after="283"/>
              <w:jc w:val="left"/>
              <w:rPr/>
            </w:pPr>
            <w:r>
              <w:rPr/>
              <w:t>Diluted net income per share, Class A ordinary shares</w:t>
            </w:r>
          </w:p>
        </w:tc>
        <w:tc>
          <w:tcPr>
            <w:tcW w:w="60"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321"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ind w:left="0" w:right="0" w:hanging="180"/>
              <w:jc w:val="left"/>
              <w:rPr/>
            </w:pPr>
            <w:r>
              <w:rPr/>
              <w:t> </w:t>
            </w:r>
          </w:p>
        </w:tc>
      </w:tr>
      <w:tr>
        <w:trPr/>
        <w:tc>
          <w:tcPr>
            <w:tcW w:w="2529" w:type="dxa"/>
            <w:tcBorders/>
            <w:shd w:fill="CCEEFF" w:val="clear"/>
            <w:vAlign w:val="center"/>
          </w:tcPr>
          <w:p>
            <w:pPr>
              <w:pStyle w:val="TableContents"/>
              <w:bidi w:val="0"/>
              <w:spacing w:before="0" w:after="283"/>
              <w:jc w:val="left"/>
              <w:rPr/>
            </w:pPr>
            <w:r>
              <w:rPr/>
              <w:t>Basic net income per share, Class B ordinary shares</w:t>
            </w:r>
          </w:p>
        </w:tc>
        <w:tc>
          <w:tcPr>
            <w:tcW w:w="60"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321"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167" w:type="dxa"/>
            <w:tcBorders/>
            <w:shd w:fill="CCEEFF" w:val="clear"/>
            <w:vAlign w:val="center"/>
          </w:tcPr>
          <w:p>
            <w:pPr>
              <w:pStyle w:val="TableContents"/>
              <w:bidi w:val="0"/>
              <w:spacing w:before="0" w:after="283"/>
              <w:ind w:left="0" w:right="0" w:hanging="180"/>
              <w:jc w:val="left"/>
              <w:rPr/>
            </w:pPr>
            <w:r>
              <w:rPr/>
              <w:t> </w:t>
            </w:r>
          </w:p>
        </w:tc>
      </w:tr>
      <w:tr>
        <w:trPr/>
        <w:tc>
          <w:tcPr>
            <w:tcW w:w="2529" w:type="dxa"/>
            <w:tcBorders/>
            <w:shd w:fill="FFFFFF" w:val="clear"/>
            <w:vAlign w:val="center"/>
          </w:tcPr>
          <w:p>
            <w:pPr>
              <w:pStyle w:val="TableContents"/>
              <w:bidi w:val="0"/>
              <w:spacing w:before="0" w:after="283"/>
              <w:jc w:val="left"/>
              <w:rPr/>
            </w:pPr>
            <w:r>
              <w:rPr/>
              <w:t>Diluted net income per share, Class B ordinary shares</w:t>
            </w:r>
          </w:p>
        </w:tc>
        <w:tc>
          <w:tcPr>
            <w:tcW w:w="60"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321"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ind w:left="0" w:right="0" w:hanging="180"/>
              <w:jc w:val="left"/>
              <w:rPr/>
            </w:pPr>
            <w:r>
              <w:rPr/>
              <w:t> </w:t>
            </w:r>
          </w:p>
        </w:tc>
      </w:tr>
      <w:tr>
        <w:trPr/>
        <w:tc>
          <w:tcPr>
            <w:tcW w:w="2529" w:type="dxa"/>
            <w:tcBorders/>
            <w:shd w:fill="CCEEFF" w:val="clear"/>
            <w:vAlign w:val="center"/>
          </w:tcPr>
          <w:p>
            <w:pPr>
              <w:pStyle w:val="TableContents"/>
              <w:bidi w:val="0"/>
              <w:spacing w:before="0" w:after="283"/>
              <w:jc w:val="left"/>
              <w:rPr/>
            </w:pPr>
            <w:r>
              <w:rPr/>
              <w:t>Weighted average shares used in computing net loss per share, basic and diluted</w:t>
            </w:r>
          </w:p>
        </w:tc>
        <w:tc>
          <w:tcPr>
            <w:tcW w:w="60"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321"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296,203,882</w:t>
            </w:r>
          </w:p>
        </w:tc>
        <w:tc>
          <w:tcPr>
            <w:tcW w:w="167" w:type="dxa"/>
            <w:tcBorders/>
            <w:shd w:fill="CCEEFF" w:val="clear"/>
            <w:vAlign w:val="center"/>
          </w:tcPr>
          <w:p>
            <w:pPr>
              <w:pStyle w:val="TableContents"/>
              <w:bidi w:val="0"/>
              <w:spacing w:before="0" w:after="283"/>
              <w:ind w:left="0" w:right="0" w:hanging="180"/>
              <w:jc w:val="left"/>
              <w:rPr/>
            </w:pPr>
            <w:r>
              <w:rPr/>
              <w:t> </w:t>
            </w:r>
          </w:p>
        </w:tc>
      </w:tr>
      <w:tr>
        <w:trPr/>
        <w:tc>
          <w:tcPr>
            <w:tcW w:w="2529" w:type="dxa"/>
            <w:tcBorders/>
            <w:shd w:fill="FFFFFF" w:val="clear"/>
            <w:vAlign w:val="center"/>
          </w:tcPr>
          <w:p>
            <w:pPr>
              <w:pStyle w:val="TableContents"/>
              <w:bidi w:val="0"/>
              <w:spacing w:before="0" w:after="283"/>
              <w:jc w:val="left"/>
              <w:rPr/>
            </w:pPr>
            <w:r>
              <w:rPr/>
              <w:t>Weighted average shares outstanding, Class A ordinary shares, basic</w:t>
            </w:r>
          </w:p>
        </w:tc>
        <w:tc>
          <w:tcPr>
            <w:tcW w:w="60"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15,405,179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321"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ind w:left="0" w:right="0" w:hanging="180"/>
              <w:jc w:val="left"/>
              <w:rPr/>
            </w:pPr>
            <w:r>
              <w:rPr/>
              <w:t> </w:t>
            </w:r>
          </w:p>
        </w:tc>
      </w:tr>
      <w:tr>
        <w:trPr/>
        <w:tc>
          <w:tcPr>
            <w:tcW w:w="2529" w:type="dxa"/>
            <w:tcBorders/>
            <w:shd w:fill="CCEEFF" w:val="clear"/>
            <w:vAlign w:val="center"/>
          </w:tcPr>
          <w:p>
            <w:pPr>
              <w:pStyle w:val="TableContents"/>
              <w:bidi w:val="0"/>
              <w:spacing w:before="0" w:after="283"/>
              <w:jc w:val="left"/>
              <w:rPr/>
            </w:pPr>
            <w:r>
              <w:rPr/>
              <w:t>Weighted average shares outstanding, Class A ordinary shares, diluted</w:t>
            </w:r>
          </w:p>
        </w:tc>
        <w:tc>
          <w:tcPr>
            <w:tcW w:w="60"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15,405,179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321"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167" w:type="dxa"/>
            <w:tcBorders/>
            <w:shd w:fill="CCEEFF" w:val="clear"/>
            <w:vAlign w:val="center"/>
          </w:tcPr>
          <w:p>
            <w:pPr>
              <w:pStyle w:val="TableContents"/>
              <w:bidi w:val="0"/>
              <w:spacing w:before="0" w:after="283"/>
              <w:ind w:left="0" w:right="0" w:hanging="180"/>
              <w:jc w:val="left"/>
              <w:rPr/>
            </w:pPr>
            <w:r>
              <w:rPr/>
              <w:t> </w:t>
            </w:r>
          </w:p>
        </w:tc>
      </w:tr>
      <w:tr>
        <w:trPr/>
        <w:tc>
          <w:tcPr>
            <w:tcW w:w="2529" w:type="dxa"/>
            <w:tcBorders/>
            <w:shd w:fill="FFFFFF" w:val="clear"/>
            <w:vAlign w:val="center"/>
          </w:tcPr>
          <w:p>
            <w:pPr>
              <w:pStyle w:val="TableContents"/>
              <w:bidi w:val="0"/>
              <w:spacing w:before="0" w:after="283"/>
              <w:jc w:val="left"/>
              <w:rPr/>
            </w:pPr>
            <w:r>
              <w:rPr/>
              <w:t>Weighted average shares outstanding, Class B ordinary shares, basic</w:t>
            </w:r>
          </w:p>
        </w:tc>
        <w:tc>
          <w:tcPr>
            <w:tcW w:w="60"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7,010,101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321"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ind w:left="0" w:right="0" w:hanging="180"/>
              <w:jc w:val="left"/>
              <w:rPr/>
            </w:pPr>
            <w:r>
              <w:rPr/>
              <w:t> </w:t>
            </w:r>
          </w:p>
        </w:tc>
      </w:tr>
      <w:tr>
        <w:trPr/>
        <w:tc>
          <w:tcPr>
            <w:tcW w:w="2529" w:type="dxa"/>
            <w:tcBorders/>
            <w:shd w:fill="CCEEFF" w:val="clear"/>
            <w:vAlign w:val="center"/>
          </w:tcPr>
          <w:p>
            <w:pPr>
              <w:pStyle w:val="TableContents"/>
              <w:bidi w:val="0"/>
              <w:spacing w:before="0" w:after="283"/>
              <w:jc w:val="left"/>
              <w:rPr/>
            </w:pPr>
            <w:r>
              <w:rPr/>
              <w:t>Weighted average shares outstanding, Class B ordinary shares, diluted</w:t>
            </w:r>
          </w:p>
        </w:tc>
        <w:tc>
          <w:tcPr>
            <w:tcW w:w="60"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7,288,338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321"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167" w:type="dxa"/>
            <w:tcBorders/>
            <w:shd w:fill="CCEEFF" w:val="clear"/>
            <w:vAlign w:val="center"/>
          </w:tcPr>
          <w:p>
            <w:pPr>
              <w:pStyle w:val="TableContents"/>
              <w:bidi w:val="0"/>
              <w:spacing w:before="0" w:after="283"/>
              <w:ind w:left="0" w:right="0" w:hanging="180"/>
              <w:jc w:val="left"/>
              <w:rPr/>
            </w:pPr>
            <w:r>
              <w:rPr/>
              <w:t> </w:t>
            </w:r>
          </w:p>
        </w:tc>
      </w:tr>
      <w:tr>
        <w:trPr/>
        <w:tc>
          <w:tcPr>
            <w:tcW w:w="25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321"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ind w:left="0" w:right="0" w:hanging="180"/>
              <w:jc w:val="left"/>
              <w:rPr/>
            </w:pPr>
            <w:r>
              <w:rPr/>
              <w:t> </w:t>
            </w:r>
          </w:p>
        </w:tc>
      </w:tr>
      <w:tr>
        <w:trPr/>
        <w:tc>
          <w:tcPr>
            <w:tcW w:w="2529" w:type="dxa"/>
            <w:tcBorders/>
            <w:shd w:fill="CCEEFF" w:val="clear"/>
            <w:vAlign w:val="center"/>
          </w:tcPr>
          <w:p>
            <w:pPr>
              <w:pStyle w:val="TableContents"/>
              <w:bidi w:val="0"/>
              <w:spacing w:before="0" w:after="283"/>
              <w:jc w:val="left"/>
              <w:rPr>
                <w:b/>
              </w:rPr>
            </w:pPr>
            <w:r>
              <w:rPr>
                <w:b/>
              </w:rPr>
              <w:t>Comprehensive loss:</w:t>
            </w:r>
          </w:p>
        </w:tc>
        <w:tc>
          <w:tcPr>
            <w:tcW w:w="60"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321"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167" w:type="dxa"/>
            <w:tcBorders/>
            <w:shd w:fill="CCEEFF" w:val="clear"/>
            <w:vAlign w:val="center"/>
          </w:tcPr>
          <w:p>
            <w:pPr>
              <w:pStyle w:val="TableContents"/>
              <w:bidi w:val="0"/>
              <w:spacing w:before="0" w:after="283"/>
              <w:ind w:left="0" w:right="0" w:hanging="180"/>
              <w:jc w:val="left"/>
              <w:rPr/>
            </w:pPr>
            <w:r>
              <w:rPr/>
              <w:t> </w:t>
            </w:r>
          </w:p>
        </w:tc>
      </w:tr>
      <w:tr>
        <w:trPr/>
        <w:tc>
          <w:tcPr>
            <w:tcW w:w="2529"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pPr>
            <w:r>
              <w:rPr/>
              <w:t>(70,667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3,585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(10,751</w:t>
            </w:r>
          </w:p>
        </w:tc>
        <w:tc>
          <w:tcPr>
            <w:tcW w:w="321" w:type="dxa"/>
            <w:gridSpan w:val="2"/>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(77,845</w:t>
            </w:r>
          </w:p>
        </w:tc>
        <w:tc>
          <w:tcPr>
            <w:tcW w:w="167" w:type="dxa"/>
            <w:tcBorders/>
            <w:shd w:fill="FFFFFF" w:val="clear"/>
            <w:vAlign w:val="center"/>
          </w:tcPr>
          <w:p>
            <w:pPr>
              <w:pStyle w:val="TableContents"/>
              <w:bidi w:val="0"/>
              <w:spacing w:before="0" w:after="283"/>
              <w:ind w:left="0" w:right="0" w:hanging="180"/>
              <w:jc w:val="left"/>
              <w:rPr/>
            </w:pPr>
            <w:r>
              <w:rPr/>
              <w:t>)</w:t>
            </w:r>
          </w:p>
        </w:tc>
      </w:tr>
      <w:tr>
        <w:trPr/>
        <w:tc>
          <w:tcPr>
            <w:tcW w:w="2529" w:type="dxa"/>
            <w:tcBorders/>
            <w:shd w:fill="CCEEFF" w:val="clear"/>
            <w:vAlign w:val="center"/>
          </w:tcPr>
          <w:p>
            <w:pPr>
              <w:pStyle w:val="TableContents"/>
              <w:bidi w:val="0"/>
              <w:spacing w:before="0" w:after="283"/>
              <w:jc w:val="left"/>
              <w:rPr/>
            </w:pPr>
            <w:r>
              <w:rPr/>
              <w:t>Cumulative translation adjustment</w:t>
            </w:r>
          </w:p>
        </w:tc>
        <w:tc>
          <w:tcPr>
            <w:tcW w:w="60" w:type="dxa"/>
            <w:tcBorders/>
            <w:shd w:fill="CCEEFF" w:val="clear"/>
            <w:vAlign w:val="center"/>
          </w:tcPr>
          <w:p>
            <w:pPr>
              <w:pStyle w:val="TableContents"/>
              <w:bidi w:val="0"/>
              <w:spacing w:before="0" w:after="283"/>
              <w:jc w:val="left"/>
              <w:rPr/>
            </w:pPr>
            <w:r>
              <w:rPr/>
              <w:t> </w:t>
            </w:r>
          </w:p>
        </w:tc>
        <w:tc>
          <w:tcPr>
            <w:tcW w:w="3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8" w:type="dxa"/>
            <w:tcBorders>
              <w:bottom w:val="single" w:sz="12" w:space="0" w:color="000000"/>
            </w:tcBorders>
            <w:shd w:fill="CCEEFF" w:val="clear"/>
            <w:tcMar>
              <w:bottom w:w="28" w:type="dxa"/>
            </w:tcMar>
            <w:vAlign w:val="center"/>
          </w:tcPr>
          <w:p>
            <w:pPr>
              <w:pStyle w:val="TableContents"/>
              <w:bidi w:val="0"/>
              <w:spacing w:before="0" w:after="283"/>
              <w:jc w:val="right"/>
              <w:rPr/>
            </w:pPr>
            <w:r>
              <w:rPr/>
              <w:t>3,216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321"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3,216</w:t>
            </w:r>
          </w:p>
        </w:tc>
        <w:tc>
          <w:tcPr>
            <w:tcW w:w="167" w:type="dxa"/>
            <w:tcBorders/>
            <w:shd w:fill="CCEEFF" w:val="clear"/>
            <w:vAlign w:val="center"/>
          </w:tcPr>
          <w:p>
            <w:pPr>
              <w:pStyle w:val="TableContents"/>
              <w:bidi w:val="0"/>
              <w:spacing w:before="0" w:after="283"/>
              <w:ind w:left="0" w:right="0" w:hanging="180"/>
              <w:jc w:val="left"/>
              <w:rPr/>
            </w:pPr>
            <w:r>
              <w:rPr/>
              <w:t> </w:t>
            </w:r>
          </w:p>
        </w:tc>
      </w:tr>
      <w:tr>
        <w:trPr/>
        <w:tc>
          <w:tcPr>
            <w:tcW w:w="2529" w:type="dxa"/>
            <w:tcBorders/>
            <w:shd w:fill="FFFFFF" w:val="clear"/>
            <w:vAlign w:val="center"/>
          </w:tcPr>
          <w:p>
            <w:pPr>
              <w:pStyle w:val="TableContents"/>
              <w:bidi w:val="0"/>
              <w:spacing w:before="0" w:after="283"/>
              <w:jc w:val="left"/>
              <w:rPr/>
            </w:pPr>
            <w:r>
              <w:rPr/>
              <w:t>Net comprehensive income (loss)</w:t>
            </w:r>
          </w:p>
        </w:tc>
        <w:tc>
          <w:tcPr>
            <w:tcW w:w="60" w:type="dxa"/>
            <w:tcBorders/>
            <w:shd w:fill="FFFFFF" w:val="clear"/>
            <w:vAlign w:val="center"/>
          </w:tcPr>
          <w:p>
            <w:pPr>
              <w:pStyle w:val="TableContents"/>
              <w:bidi w:val="0"/>
              <w:spacing w:before="0" w:after="283"/>
              <w:jc w:val="left"/>
              <w:rPr/>
            </w:pPr>
            <w:r>
              <w:rPr/>
              <w:t> </w:t>
            </w:r>
          </w:p>
        </w:tc>
        <w:tc>
          <w:tcPr>
            <w:tcW w:w="36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38" w:type="dxa"/>
            <w:tcBorders>
              <w:bottom w:val="double" w:sz="10" w:space="0" w:color="000000"/>
            </w:tcBorders>
            <w:shd w:fill="FFFFFF" w:val="clear"/>
            <w:tcMar>
              <w:bottom w:w="28" w:type="dxa"/>
            </w:tcMar>
            <w:vAlign w:val="center"/>
          </w:tcPr>
          <w:p>
            <w:pPr>
              <w:pStyle w:val="TableContents"/>
              <w:bidi w:val="0"/>
              <w:spacing w:before="0" w:after="283"/>
              <w:jc w:val="right"/>
              <w:rPr/>
            </w:pPr>
            <w:r>
              <w:rPr/>
              <w:t>(67,451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3,585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6" w:type="dxa"/>
            <w:tcBorders>
              <w:bottom w:val="double" w:sz="10" w:space="0" w:color="000000"/>
            </w:tcBorders>
            <w:shd w:fill="FFFFFF" w:val="clear"/>
            <w:tcMar>
              <w:bottom w:w="28" w:type="dxa"/>
            </w:tcMar>
            <w:vAlign w:val="center"/>
          </w:tcPr>
          <w:p>
            <w:pPr>
              <w:pStyle w:val="TableContents"/>
              <w:bidi w:val="0"/>
              <w:spacing w:before="0" w:after="283"/>
              <w:jc w:val="right"/>
              <w:rPr/>
            </w:pPr>
            <w:r>
              <w:rPr/>
              <w:t>(10,751</w:t>
            </w:r>
          </w:p>
        </w:tc>
        <w:tc>
          <w:tcPr>
            <w:tcW w:w="321" w:type="dxa"/>
            <w:gridSpan w:val="2"/>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5" w:type="dxa"/>
            <w:tcBorders>
              <w:bottom w:val="double" w:sz="10" w:space="0" w:color="000000"/>
            </w:tcBorders>
            <w:shd w:fill="FFFFFF" w:val="clear"/>
            <w:tcMar>
              <w:bottom w:w="28" w:type="dxa"/>
            </w:tcMar>
            <w:vAlign w:val="center"/>
          </w:tcPr>
          <w:p>
            <w:pPr>
              <w:pStyle w:val="TableContents"/>
              <w:bidi w:val="0"/>
              <w:spacing w:before="0" w:after="283"/>
              <w:jc w:val="right"/>
              <w:rPr/>
            </w:pPr>
            <w:r>
              <w:rPr/>
              <w:t>(74,629</w:t>
            </w:r>
          </w:p>
        </w:tc>
        <w:tc>
          <w:tcPr>
            <w:tcW w:w="167"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 PERIOD ENDED MARCH 31, 2026</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07"/>
        <w:gridCol w:w="60"/>
        <w:gridCol w:w="170"/>
        <w:gridCol w:w="1348"/>
        <w:gridCol w:w="95"/>
        <w:gridCol w:w="60"/>
        <w:gridCol w:w="235"/>
        <w:gridCol w:w="940"/>
        <w:gridCol w:w="95"/>
        <w:gridCol w:w="60"/>
        <w:gridCol w:w="236"/>
        <w:gridCol w:w="1074"/>
        <w:gridCol w:w="314"/>
        <w:gridCol w:w="60"/>
        <w:gridCol w:w="168"/>
        <w:gridCol w:w="1469"/>
        <w:gridCol w:w="214"/>
      </w:tblGrid>
      <w:tr>
        <w:trPr/>
        <w:tc>
          <w:tcPr>
            <w:tcW w:w="36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Xanadu Quantum</w:t>
              <w:br/>
              <w:t>Technologies</w:t>
              <w:br/>
              <w:t>Limited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Crane</w:t>
              <w:br/>
              <w:t>Harbor</w:t>
              <w:br/>
              <w:t>Acquisition</w:t>
              <w:br/>
              <w:t>Corp.</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Transaction</w:t>
              <w:br/>
              <w:t>Accounting</w:t>
              <w:br/>
              <w:t>Adjustments</w:t>
            </w:r>
          </w:p>
        </w:tc>
        <w:tc>
          <w:tcPr>
            <w:tcW w:w="3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Xanadu Quantum</w:t>
              <w:br/>
              <w:t>Technologies Limited</w:t>
              <w:br/>
              <w:t>Pro Forma</w:t>
            </w:r>
          </w:p>
        </w:tc>
        <w:tc>
          <w:tcPr>
            <w:tcW w:w="214" w:type="dxa"/>
            <w:tcBorders/>
            <w:vAlign w:val="center"/>
          </w:tcPr>
          <w:p>
            <w:pPr>
              <w:pStyle w:val="TableContents"/>
              <w:bidi w:val="0"/>
              <w:spacing w:before="0" w:after="283"/>
              <w:ind w:left="0" w:right="0" w:hanging="180"/>
              <w:jc w:val="left"/>
              <w:rPr/>
            </w:pPr>
            <w:r>
              <w:rPr/>
              <w:t> </w:t>
            </w:r>
          </w:p>
        </w:tc>
      </w:tr>
      <w:tr>
        <w:trPr/>
        <w:tc>
          <w:tcPr>
            <w:tcW w:w="3607"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48" w:type="dxa"/>
            <w:tcBorders/>
            <w:shd w:fill="CCEEFF" w:val="clear"/>
            <w:vAlign w:val="center"/>
          </w:tcPr>
          <w:p>
            <w:pPr>
              <w:pStyle w:val="TableContents"/>
              <w:bidi w:val="0"/>
              <w:spacing w:before="0" w:after="283"/>
              <w:jc w:val="right"/>
              <w:rPr/>
            </w:pPr>
            <w:r>
              <w:rPr/>
              <w:t>2,832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3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469" w:type="dxa"/>
            <w:tcBorders/>
            <w:shd w:fill="CCEEFF" w:val="clear"/>
            <w:vAlign w:val="center"/>
          </w:tcPr>
          <w:p>
            <w:pPr>
              <w:pStyle w:val="TableContents"/>
              <w:bidi w:val="0"/>
              <w:spacing w:before="0" w:after="283"/>
              <w:jc w:val="right"/>
              <w:rPr/>
            </w:pPr>
            <w:r>
              <w:rPr/>
              <w:t>2,832</w:t>
            </w:r>
          </w:p>
        </w:tc>
        <w:tc>
          <w:tcPr>
            <w:tcW w:w="214" w:type="dxa"/>
            <w:tcBorders/>
            <w:shd w:fill="CCEEFF" w:val="clear"/>
            <w:vAlign w:val="center"/>
          </w:tcPr>
          <w:p>
            <w:pPr>
              <w:pStyle w:val="TableContents"/>
              <w:bidi w:val="0"/>
              <w:spacing w:before="0" w:after="283"/>
              <w:ind w:left="0" w:right="0" w:hanging="180"/>
              <w:jc w:val="left"/>
              <w:rPr/>
            </w:pPr>
            <w:r>
              <w:rPr/>
              <w:t> </w:t>
            </w:r>
          </w:p>
        </w:tc>
      </w:tr>
      <w:tr>
        <w:trPr/>
        <w:tc>
          <w:tcPr>
            <w:tcW w:w="3607"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 </w:t>
            </w:r>
          </w:p>
        </w:tc>
        <w:tc>
          <w:tcPr>
            <w:tcW w:w="214" w:type="dxa"/>
            <w:tcBorders/>
            <w:shd w:fill="FFFFFF" w:val="clear"/>
            <w:vAlign w:val="center"/>
          </w:tcPr>
          <w:p>
            <w:pPr>
              <w:pStyle w:val="TableContents"/>
              <w:bidi w:val="0"/>
              <w:spacing w:before="0" w:after="283"/>
              <w:ind w:left="0" w:right="0" w:hanging="180"/>
              <w:jc w:val="left"/>
              <w:rPr/>
            </w:pPr>
            <w:r>
              <w:rPr/>
              <w:t> </w:t>
            </w:r>
          </w:p>
        </w:tc>
      </w:tr>
      <w:tr>
        <w:trPr/>
        <w:tc>
          <w:tcPr>
            <w:tcW w:w="3607" w:type="dxa"/>
            <w:tcBorders/>
            <w:shd w:fill="CCEEFF" w:val="clear"/>
            <w:vAlign w:val="center"/>
          </w:tcPr>
          <w:p>
            <w:pPr>
              <w:pStyle w:val="TableContents"/>
              <w:bidi w:val="0"/>
              <w:spacing w:before="0" w:after="283"/>
              <w:jc w:val="left"/>
              <w:rPr/>
            </w:pPr>
            <w:r>
              <w:rPr/>
              <w:t>Cost of revenue (exclusive of depreciation and amortization below)</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3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113</w:t>
            </w:r>
          </w:p>
        </w:tc>
        <w:tc>
          <w:tcPr>
            <w:tcW w:w="214" w:type="dxa"/>
            <w:tcBorders/>
            <w:shd w:fill="CCEEFF" w:val="clear"/>
            <w:vAlign w:val="center"/>
          </w:tcPr>
          <w:p>
            <w:pPr>
              <w:pStyle w:val="TableContents"/>
              <w:bidi w:val="0"/>
              <w:spacing w:before="0" w:after="283"/>
              <w:ind w:left="0" w:right="0" w:hanging="180"/>
              <w:jc w:val="left"/>
              <w:rPr/>
            </w:pPr>
            <w:r>
              <w:rPr/>
              <w:t> </w:t>
            </w:r>
          </w:p>
        </w:tc>
      </w:tr>
      <w:tr>
        <w:trPr/>
        <w:tc>
          <w:tcPr>
            <w:tcW w:w="3607"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17,348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17,348</w:t>
            </w:r>
          </w:p>
        </w:tc>
        <w:tc>
          <w:tcPr>
            <w:tcW w:w="214" w:type="dxa"/>
            <w:tcBorders/>
            <w:shd w:fill="FFFFFF" w:val="clear"/>
            <w:vAlign w:val="center"/>
          </w:tcPr>
          <w:p>
            <w:pPr>
              <w:pStyle w:val="TableContents"/>
              <w:bidi w:val="0"/>
              <w:spacing w:before="0" w:after="283"/>
              <w:ind w:left="0" w:right="0" w:hanging="180"/>
              <w:jc w:val="left"/>
              <w:rPr/>
            </w:pPr>
            <w:r>
              <w:rPr/>
              <w:t> </w:t>
            </w:r>
          </w:p>
        </w:tc>
      </w:tr>
      <w:tr>
        <w:trPr/>
        <w:tc>
          <w:tcPr>
            <w:tcW w:w="3607"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9,759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805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(6,270</w:t>
            </w:r>
          </w:p>
        </w:tc>
        <w:tc>
          <w:tcPr>
            <w:tcW w:w="314" w:type="dxa"/>
            <w:tcBorders/>
            <w:shd w:fill="CCEEFF" w:val="clear"/>
            <w:vAlign w:val="center"/>
          </w:tcPr>
          <w:p>
            <w:pPr>
              <w:pStyle w:val="TableContents"/>
              <w:bidi w:val="0"/>
              <w:spacing w:before="0" w:after="283"/>
              <w:jc w:val="left"/>
              <w:rPr/>
            </w:pPr>
            <w:r>
              <w:rPr/>
              <w:t>)(a)</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4,294</w:t>
            </w:r>
          </w:p>
        </w:tc>
        <w:tc>
          <w:tcPr>
            <w:tcW w:w="214" w:type="dxa"/>
            <w:tcBorders/>
            <w:shd w:fill="CCEEFF" w:val="clear"/>
            <w:vAlign w:val="center"/>
          </w:tcPr>
          <w:p>
            <w:pPr>
              <w:pStyle w:val="TableContents"/>
              <w:bidi w:val="0"/>
              <w:spacing w:before="0" w:after="283"/>
              <w:ind w:left="0" w:right="0" w:hanging="180"/>
              <w:jc w:val="left"/>
              <w:rPr/>
            </w:pPr>
            <w:r>
              <w:rPr/>
              <w:t> </w:t>
            </w:r>
          </w:p>
        </w:tc>
      </w:tr>
      <w:tr>
        <w:trPr/>
        <w:tc>
          <w:tcPr>
            <w:tcW w:w="3607"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1,401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1,401</w:t>
            </w:r>
          </w:p>
        </w:tc>
        <w:tc>
          <w:tcPr>
            <w:tcW w:w="214" w:type="dxa"/>
            <w:tcBorders/>
            <w:shd w:fill="FFFFFF" w:val="clear"/>
            <w:vAlign w:val="center"/>
          </w:tcPr>
          <w:p>
            <w:pPr>
              <w:pStyle w:val="TableContents"/>
              <w:bidi w:val="0"/>
              <w:spacing w:before="0" w:after="283"/>
              <w:ind w:left="0" w:right="0" w:hanging="180"/>
              <w:jc w:val="left"/>
              <w:rPr/>
            </w:pPr>
            <w:r>
              <w:rPr/>
              <w:t> </w:t>
            </w:r>
          </w:p>
        </w:tc>
      </w:tr>
      <w:tr>
        <w:trPr/>
        <w:tc>
          <w:tcPr>
            <w:tcW w:w="3607"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1,617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3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1,617</w:t>
            </w:r>
          </w:p>
        </w:tc>
        <w:tc>
          <w:tcPr>
            <w:tcW w:w="214" w:type="dxa"/>
            <w:tcBorders/>
            <w:shd w:fill="CCEEFF" w:val="clear"/>
            <w:vAlign w:val="center"/>
          </w:tcPr>
          <w:p>
            <w:pPr>
              <w:pStyle w:val="TableContents"/>
              <w:bidi w:val="0"/>
              <w:spacing w:before="0" w:after="283"/>
              <w:ind w:left="0" w:right="0" w:hanging="180"/>
              <w:jc w:val="left"/>
              <w:rPr/>
            </w:pPr>
            <w:r>
              <w:rPr/>
              <w:t> </w:t>
            </w:r>
          </w:p>
        </w:tc>
      </w:tr>
      <w:tr>
        <w:trPr/>
        <w:tc>
          <w:tcPr>
            <w:tcW w:w="3607" w:type="dxa"/>
            <w:tcBorders/>
            <w:shd w:fill="FFFFFF" w:val="clear"/>
            <w:vAlign w:val="center"/>
          </w:tcPr>
          <w:p>
            <w:pPr>
              <w:pStyle w:val="TableContents"/>
              <w:bidi w:val="0"/>
              <w:spacing w:before="0" w:after="283"/>
              <w:jc w:val="left"/>
              <w:rPr/>
            </w:pPr>
            <w:r>
              <w:rPr/>
              <w:t>Other operating (income) expense, net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8" w:type="dxa"/>
            <w:tcBorders>
              <w:bottom w:val="single" w:sz="12" w:space="0" w:color="000000"/>
            </w:tcBorders>
            <w:shd w:fill="FFFFFF" w:val="clear"/>
            <w:tcMar>
              <w:bottom w:w="28" w:type="dxa"/>
            </w:tcMar>
            <w:vAlign w:val="center"/>
          </w:tcPr>
          <w:p>
            <w:pPr>
              <w:pStyle w:val="TableContents"/>
              <w:bidi w:val="0"/>
              <w:spacing w:before="0" w:after="283"/>
              <w:jc w:val="right"/>
              <w:rPr/>
            </w:pPr>
            <w:r>
              <w:rPr/>
              <w:t>(4,139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FFFFFF" w:val="clear"/>
            <w:tcMar>
              <w:bottom w:w="28" w:type="dxa"/>
            </w:tcMar>
            <w:vAlign w:val="center"/>
          </w:tcPr>
          <w:p>
            <w:pPr>
              <w:pStyle w:val="TableContents"/>
              <w:bidi w:val="0"/>
              <w:spacing w:before="0" w:after="283"/>
              <w:jc w:val="right"/>
              <w:rPr/>
            </w:pPr>
            <w:r>
              <w:rPr/>
              <w:t>(895</w:t>
            </w:r>
          </w:p>
        </w:tc>
        <w:tc>
          <w:tcPr>
            <w:tcW w:w="314" w:type="dxa"/>
            <w:tcBorders/>
            <w:shd w:fill="FFFFFF" w:val="clear"/>
            <w:vAlign w:val="center"/>
          </w:tcPr>
          <w:p>
            <w:pPr>
              <w:pStyle w:val="TableContents"/>
              <w:bidi w:val="0"/>
              <w:spacing w:before="0" w:after="283"/>
              <w:jc w:val="left"/>
              <w:rPr/>
            </w:pPr>
            <w:r>
              <w:rPr/>
              <w:t>)(e)</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9" w:type="dxa"/>
            <w:tcBorders>
              <w:bottom w:val="single" w:sz="12" w:space="0" w:color="000000"/>
            </w:tcBorders>
            <w:shd w:fill="FFFFFF" w:val="clear"/>
            <w:tcMar>
              <w:bottom w:w="28" w:type="dxa"/>
            </w:tcMar>
            <w:vAlign w:val="center"/>
          </w:tcPr>
          <w:p>
            <w:pPr>
              <w:pStyle w:val="TableContents"/>
              <w:bidi w:val="0"/>
              <w:spacing w:before="0" w:after="283"/>
              <w:jc w:val="right"/>
              <w:rPr/>
            </w:pPr>
            <w:r>
              <w:rPr/>
              <w:t>(5,034</w:t>
            </w:r>
          </w:p>
        </w:tc>
        <w:tc>
          <w:tcPr>
            <w:tcW w:w="214" w:type="dxa"/>
            <w:tcBorders/>
            <w:shd w:fill="FFFFFF" w:val="clear"/>
            <w:vAlign w:val="center"/>
          </w:tcPr>
          <w:p>
            <w:pPr>
              <w:pStyle w:val="TableContents"/>
              <w:bidi w:val="0"/>
              <w:spacing w:before="0" w:after="283"/>
              <w:ind w:left="0" w:right="0" w:hanging="180"/>
              <w:jc w:val="left"/>
              <w:rPr/>
            </w:pPr>
            <w:r>
              <w:rPr/>
              <w:t>)</w:t>
            </w:r>
          </w:p>
        </w:tc>
      </w:tr>
      <w:tr>
        <w:trPr/>
        <w:tc>
          <w:tcPr>
            <w:tcW w:w="3607"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8" w:type="dxa"/>
            <w:tcBorders>
              <w:bottom w:val="single" w:sz="12" w:space="0" w:color="000000"/>
            </w:tcBorders>
            <w:shd w:fill="CCEEFF" w:val="clear"/>
            <w:tcMar>
              <w:bottom w:w="28" w:type="dxa"/>
            </w:tcMar>
            <w:vAlign w:val="center"/>
          </w:tcPr>
          <w:p>
            <w:pPr>
              <w:pStyle w:val="TableContents"/>
              <w:bidi w:val="0"/>
              <w:spacing w:before="0" w:after="283"/>
              <w:jc w:val="right"/>
              <w:rPr/>
            </w:pPr>
            <w:r>
              <w:rPr/>
              <w:t>26,099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CCEEFF" w:val="clear"/>
            <w:tcMar>
              <w:bottom w:w="28" w:type="dxa"/>
            </w:tcMar>
            <w:vAlign w:val="center"/>
          </w:tcPr>
          <w:p>
            <w:pPr>
              <w:pStyle w:val="TableContents"/>
              <w:bidi w:val="0"/>
              <w:spacing w:before="0" w:after="283"/>
              <w:jc w:val="right"/>
              <w:rPr/>
            </w:pPr>
            <w:r>
              <w:rPr/>
              <w:t>805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CCEEFF" w:val="clear"/>
            <w:tcMar>
              <w:bottom w:w="28" w:type="dxa"/>
            </w:tcMar>
            <w:vAlign w:val="center"/>
          </w:tcPr>
          <w:p>
            <w:pPr>
              <w:pStyle w:val="TableContents"/>
              <w:bidi w:val="0"/>
              <w:spacing w:before="0" w:after="283"/>
              <w:jc w:val="right"/>
              <w:rPr/>
            </w:pPr>
            <w:r>
              <w:rPr/>
              <w:t>(7,165</w:t>
            </w:r>
          </w:p>
        </w:tc>
        <w:tc>
          <w:tcPr>
            <w:tcW w:w="314"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9" w:type="dxa"/>
            <w:tcBorders>
              <w:bottom w:val="single" w:sz="12" w:space="0" w:color="000000"/>
            </w:tcBorders>
            <w:shd w:fill="CCEEFF" w:val="clear"/>
            <w:tcMar>
              <w:bottom w:w="28" w:type="dxa"/>
            </w:tcMar>
            <w:vAlign w:val="center"/>
          </w:tcPr>
          <w:p>
            <w:pPr>
              <w:pStyle w:val="TableContents"/>
              <w:bidi w:val="0"/>
              <w:spacing w:before="0" w:after="283"/>
              <w:jc w:val="right"/>
              <w:rPr/>
            </w:pPr>
            <w:r>
              <w:rPr/>
              <w:t>19,739</w:t>
            </w:r>
          </w:p>
        </w:tc>
        <w:tc>
          <w:tcPr>
            <w:tcW w:w="214" w:type="dxa"/>
            <w:tcBorders/>
            <w:shd w:fill="CCEEFF" w:val="clear"/>
            <w:vAlign w:val="center"/>
          </w:tcPr>
          <w:p>
            <w:pPr>
              <w:pStyle w:val="TableContents"/>
              <w:bidi w:val="0"/>
              <w:spacing w:before="0" w:after="283"/>
              <w:ind w:left="0" w:right="0" w:hanging="180"/>
              <w:jc w:val="left"/>
              <w:rPr/>
            </w:pPr>
            <w:r>
              <w:rPr/>
              <w:t> </w:t>
            </w:r>
          </w:p>
        </w:tc>
      </w:tr>
      <w:tr>
        <w:trPr/>
        <w:tc>
          <w:tcPr>
            <w:tcW w:w="3607"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(23,267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(805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(7,165</w:t>
            </w:r>
          </w:p>
        </w:tc>
        <w:tc>
          <w:tcPr>
            <w:tcW w:w="314"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(16,907</w:t>
            </w:r>
          </w:p>
        </w:tc>
        <w:tc>
          <w:tcPr>
            <w:tcW w:w="214" w:type="dxa"/>
            <w:tcBorders/>
            <w:shd w:fill="FFFFFF" w:val="clear"/>
            <w:vAlign w:val="center"/>
          </w:tcPr>
          <w:p>
            <w:pPr>
              <w:pStyle w:val="TableContents"/>
              <w:bidi w:val="0"/>
              <w:spacing w:before="0" w:after="283"/>
              <w:ind w:left="0" w:right="0" w:hanging="180"/>
              <w:jc w:val="left"/>
              <w:rPr/>
            </w:pPr>
            <w:r>
              <w:rPr/>
              <w:t>)</w:t>
            </w:r>
          </w:p>
        </w:tc>
      </w:tr>
      <w:tr>
        <w:trPr/>
        <w:tc>
          <w:tcPr>
            <w:tcW w:w="36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3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 </w:t>
            </w:r>
          </w:p>
        </w:tc>
        <w:tc>
          <w:tcPr>
            <w:tcW w:w="214" w:type="dxa"/>
            <w:tcBorders/>
            <w:shd w:fill="CCEEFF" w:val="clear"/>
            <w:vAlign w:val="center"/>
          </w:tcPr>
          <w:p>
            <w:pPr>
              <w:pStyle w:val="TableContents"/>
              <w:bidi w:val="0"/>
              <w:spacing w:before="0" w:after="283"/>
              <w:ind w:left="0" w:right="0" w:hanging="180"/>
              <w:jc w:val="left"/>
              <w:rPr/>
            </w:pPr>
            <w:r>
              <w:rPr/>
              <w:t> </w:t>
            </w:r>
          </w:p>
        </w:tc>
      </w:tr>
      <w:tr>
        <w:trPr/>
        <w:tc>
          <w:tcPr>
            <w:tcW w:w="3607" w:type="dxa"/>
            <w:tcBorders/>
            <w:shd w:fill="FFFFFF" w:val="clear"/>
            <w:vAlign w:val="center"/>
          </w:tcPr>
          <w:p>
            <w:pPr>
              <w:pStyle w:val="TableContents"/>
              <w:bidi w:val="0"/>
              <w:spacing w:before="0" w:after="283"/>
              <w:jc w:val="left"/>
              <w:rPr>
                <w:b/>
              </w:rPr>
            </w:pPr>
            <w:r>
              <w:rPr>
                <w:b/>
              </w:rPr>
              <w:t>Other income (expense), net: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 </w:t>
            </w:r>
          </w:p>
        </w:tc>
        <w:tc>
          <w:tcPr>
            <w:tcW w:w="214" w:type="dxa"/>
            <w:tcBorders/>
            <w:shd w:fill="FFFFFF" w:val="clear"/>
            <w:vAlign w:val="center"/>
          </w:tcPr>
          <w:p>
            <w:pPr>
              <w:pStyle w:val="TableContents"/>
              <w:bidi w:val="0"/>
              <w:spacing w:before="0" w:after="283"/>
              <w:ind w:left="0" w:right="0" w:hanging="180"/>
              <w:jc w:val="left"/>
              <w:rPr/>
            </w:pPr>
            <w:r>
              <w:rPr/>
              <w:t> </w:t>
            </w:r>
          </w:p>
        </w:tc>
      </w:tr>
      <w:tr>
        <w:trPr/>
        <w:tc>
          <w:tcPr>
            <w:tcW w:w="3607" w:type="dxa"/>
            <w:tcBorders/>
            <w:shd w:fill="CCEEFF" w:val="clear"/>
            <w:vAlign w:val="center"/>
          </w:tcPr>
          <w:p>
            <w:pPr>
              <w:pStyle w:val="TableContents"/>
              <w:bidi w:val="0"/>
              <w:spacing w:before="0" w:after="283"/>
              <w:jc w:val="left"/>
              <w:rPr/>
            </w:pPr>
            <w:r>
              <w:rPr/>
              <w:t>Interest income (expense), net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(190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3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(190</w:t>
            </w:r>
          </w:p>
        </w:tc>
        <w:tc>
          <w:tcPr>
            <w:tcW w:w="214" w:type="dxa"/>
            <w:tcBorders/>
            <w:shd w:fill="CCEEFF" w:val="clear"/>
            <w:vAlign w:val="center"/>
          </w:tcPr>
          <w:p>
            <w:pPr>
              <w:pStyle w:val="TableContents"/>
              <w:bidi w:val="0"/>
              <w:spacing w:before="0" w:after="283"/>
              <w:ind w:left="0" w:right="0" w:hanging="180"/>
              <w:jc w:val="left"/>
              <w:rPr/>
            </w:pPr>
            <w:r>
              <w:rPr/>
              <w:t>)</w:t>
            </w:r>
          </w:p>
        </w:tc>
      </w:tr>
      <w:tr>
        <w:trPr/>
        <w:tc>
          <w:tcPr>
            <w:tcW w:w="3607" w:type="dxa"/>
            <w:tcBorders/>
            <w:shd w:fill="FFFFFF" w:val="clear"/>
            <w:vAlign w:val="center"/>
          </w:tcPr>
          <w:p>
            <w:pPr>
              <w:pStyle w:val="TableContents"/>
              <w:bidi w:val="0"/>
              <w:spacing w:before="0" w:after="283"/>
              <w:jc w:val="left"/>
              <w:rPr/>
            </w:pPr>
            <w:r>
              <w:rPr/>
              <w:t>Interest earned on investments held in Trust Account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1,704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(1,704</w:t>
            </w:r>
          </w:p>
        </w:tc>
        <w:tc>
          <w:tcPr>
            <w:tcW w:w="314" w:type="dxa"/>
            <w:tcBorders/>
            <w:shd w:fill="FFFFFF" w:val="clear"/>
            <w:vAlign w:val="center"/>
          </w:tcPr>
          <w:p>
            <w:pPr>
              <w:pStyle w:val="TableContents"/>
              <w:bidi w:val="0"/>
              <w:spacing w:before="0" w:after="283"/>
              <w:jc w:val="left"/>
              <w:rPr/>
            </w:pPr>
            <w:r>
              <w:rPr/>
              <w:t>)(f)</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w:t>
            </w:r>
          </w:p>
        </w:tc>
        <w:tc>
          <w:tcPr>
            <w:tcW w:w="214" w:type="dxa"/>
            <w:tcBorders/>
            <w:shd w:fill="FFFFFF" w:val="clear"/>
            <w:vAlign w:val="center"/>
          </w:tcPr>
          <w:p>
            <w:pPr>
              <w:pStyle w:val="TableContents"/>
              <w:bidi w:val="0"/>
              <w:spacing w:before="0" w:after="283"/>
              <w:ind w:left="0" w:right="0" w:hanging="180"/>
              <w:jc w:val="left"/>
              <w:rPr/>
            </w:pPr>
            <w:r>
              <w:rPr/>
              <w:t> </w:t>
            </w:r>
          </w:p>
        </w:tc>
      </w:tr>
      <w:tr>
        <w:trPr/>
        <w:tc>
          <w:tcPr>
            <w:tcW w:w="3607" w:type="dxa"/>
            <w:tcBorders/>
            <w:shd w:fill="CCEEFF" w:val="clear"/>
            <w:vAlign w:val="center"/>
          </w:tcPr>
          <w:p>
            <w:pPr>
              <w:pStyle w:val="TableContents"/>
              <w:bidi w:val="0"/>
              <w:spacing w:before="0" w:after="283"/>
              <w:jc w:val="left"/>
              <w:rPr/>
            </w:pPr>
            <w:r>
              <w:rPr/>
              <w:t>Gain on fair value of earn out share liabilities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2,833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(2,833</w:t>
            </w:r>
          </w:p>
        </w:tc>
        <w:tc>
          <w:tcPr>
            <w:tcW w:w="314" w:type="dxa"/>
            <w:tcBorders/>
            <w:shd w:fill="CCEEFF" w:val="clear"/>
            <w:vAlign w:val="center"/>
          </w:tcPr>
          <w:p>
            <w:pPr>
              <w:pStyle w:val="TableContents"/>
              <w:bidi w:val="0"/>
              <w:spacing w:before="0" w:after="283"/>
              <w:jc w:val="left"/>
              <w:rPr/>
            </w:pPr>
            <w:r>
              <w:rPr/>
              <w:t>)(g)</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w:t>
            </w:r>
          </w:p>
        </w:tc>
        <w:tc>
          <w:tcPr>
            <w:tcW w:w="214" w:type="dxa"/>
            <w:tcBorders/>
            <w:shd w:fill="CCEEFF" w:val="clear"/>
            <w:vAlign w:val="center"/>
          </w:tcPr>
          <w:p>
            <w:pPr>
              <w:pStyle w:val="TableContents"/>
              <w:bidi w:val="0"/>
              <w:spacing w:before="0" w:after="283"/>
              <w:ind w:left="0" w:right="0" w:hanging="180"/>
              <w:jc w:val="left"/>
              <w:rPr/>
            </w:pPr>
            <w:r>
              <w:rPr/>
              <w:t> </w:t>
            </w:r>
          </w:p>
        </w:tc>
      </w:tr>
      <w:tr>
        <w:trPr/>
        <w:tc>
          <w:tcPr>
            <w:tcW w:w="3607"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8" w:type="dxa"/>
            <w:tcBorders>
              <w:bottom w:val="single" w:sz="12" w:space="0" w:color="000000"/>
            </w:tcBorders>
            <w:shd w:fill="FFFFFF" w:val="clear"/>
            <w:tcMar>
              <w:bottom w:w="28" w:type="dxa"/>
            </w:tcM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9" w:type="dxa"/>
            <w:tcBorders>
              <w:bottom w:val="single" w:sz="12" w:space="0" w:color="000000"/>
            </w:tcBorders>
            <w:shd w:fill="FFFFFF" w:val="clear"/>
            <w:tcMar>
              <w:bottom w:w="28" w:type="dxa"/>
            </w:tcMar>
            <w:vAlign w:val="center"/>
          </w:tcPr>
          <w:p>
            <w:pPr>
              <w:pStyle w:val="TableContents"/>
              <w:bidi w:val="0"/>
              <w:spacing w:before="0" w:after="283"/>
              <w:jc w:val="right"/>
              <w:rPr/>
            </w:pPr>
            <w:r>
              <w:rPr/>
              <w:t>20</w:t>
            </w:r>
          </w:p>
        </w:tc>
        <w:tc>
          <w:tcPr>
            <w:tcW w:w="214" w:type="dxa"/>
            <w:tcBorders/>
            <w:shd w:fill="FFFFFF" w:val="clear"/>
            <w:vAlign w:val="center"/>
          </w:tcPr>
          <w:p>
            <w:pPr>
              <w:pStyle w:val="TableContents"/>
              <w:bidi w:val="0"/>
              <w:spacing w:before="0" w:after="283"/>
              <w:ind w:left="0" w:right="0" w:hanging="180"/>
              <w:jc w:val="left"/>
              <w:rPr/>
            </w:pPr>
            <w:r>
              <w:rPr/>
              <w:t> </w:t>
            </w:r>
          </w:p>
        </w:tc>
      </w:tr>
      <w:tr>
        <w:trPr/>
        <w:tc>
          <w:tcPr>
            <w:tcW w:w="3607"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8" w:type="dxa"/>
            <w:tcBorders>
              <w:bottom w:val="single" w:sz="12" w:space="0" w:color="000000"/>
            </w:tcBorders>
            <w:shd w:fill="CCEEFF" w:val="clear"/>
            <w:tcMar>
              <w:bottom w:w="28" w:type="dxa"/>
            </w:tcMar>
            <w:vAlign w:val="center"/>
          </w:tcPr>
          <w:p>
            <w:pPr>
              <w:pStyle w:val="TableContents"/>
              <w:bidi w:val="0"/>
              <w:spacing w:before="0" w:after="283"/>
              <w:jc w:val="right"/>
              <w:rPr/>
            </w:pPr>
            <w:r>
              <w:rPr/>
              <w:t>2,663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CCEEFF" w:val="clear"/>
            <w:tcMar>
              <w:bottom w:w="28" w:type="dxa"/>
            </w:tcMar>
            <w:vAlign w:val="center"/>
          </w:tcPr>
          <w:p>
            <w:pPr>
              <w:pStyle w:val="TableContents"/>
              <w:bidi w:val="0"/>
              <w:spacing w:before="0" w:after="283"/>
              <w:jc w:val="right"/>
              <w:rPr/>
            </w:pPr>
            <w:r>
              <w:rPr/>
              <w:t>1,704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CCEEFF" w:val="clear"/>
            <w:tcMar>
              <w:bottom w:w="28" w:type="dxa"/>
            </w:tcMar>
            <w:vAlign w:val="center"/>
          </w:tcPr>
          <w:p>
            <w:pPr>
              <w:pStyle w:val="TableContents"/>
              <w:bidi w:val="0"/>
              <w:spacing w:before="0" w:after="283"/>
              <w:jc w:val="right"/>
              <w:rPr/>
            </w:pPr>
            <w:r>
              <w:rPr/>
              <w:t>(4,537</w:t>
            </w:r>
          </w:p>
        </w:tc>
        <w:tc>
          <w:tcPr>
            <w:tcW w:w="314"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9" w:type="dxa"/>
            <w:tcBorders>
              <w:bottom w:val="single" w:sz="12" w:space="0" w:color="000000"/>
            </w:tcBorders>
            <w:shd w:fill="CCEEFF" w:val="clear"/>
            <w:tcMar>
              <w:bottom w:w="28" w:type="dxa"/>
            </w:tcMar>
            <w:vAlign w:val="center"/>
          </w:tcPr>
          <w:p>
            <w:pPr>
              <w:pStyle w:val="TableContents"/>
              <w:bidi w:val="0"/>
              <w:spacing w:before="0" w:after="283"/>
              <w:jc w:val="right"/>
              <w:rPr/>
            </w:pPr>
            <w:r>
              <w:rPr/>
              <w:t>(170</w:t>
            </w:r>
          </w:p>
        </w:tc>
        <w:tc>
          <w:tcPr>
            <w:tcW w:w="214" w:type="dxa"/>
            <w:tcBorders/>
            <w:shd w:fill="CCEEFF" w:val="clear"/>
            <w:vAlign w:val="center"/>
          </w:tcPr>
          <w:p>
            <w:pPr>
              <w:pStyle w:val="TableContents"/>
              <w:bidi w:val="0"/>
              <w:spacing w:before="0" w:after="283"/>
              <w:ind w:left="0" w:right="0" w:hanging="180"/>
              <w:jc w:val="left"/>
              <w:rPr/>
            </w:pPr>
            <w:r>
              <w:rPr/>
              <w:t>)</w:t>
            </w:r>
          </w:p>
        </w:tc>
      </w:tr>
      <w:tr>
        <w:trPr/>
        <w:tc>
          <w:tcPr>
            <w:tcW w:w="3607"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(20,604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899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2,628</w:t>
            </w:r>
          </w:p>
        </w:tc>
        <w:tc>
          <w:tcPr>
            <w:tcW w:w="3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(17,077</w:t>
            </w:r>
          </w:p>
        </w:tc>
        <w:tc>
          <w:tcPr>
            <w:tcW w:w="214" w:type="dxa"/>
            <w:tcBorders/>
            <w:shd w:fill="FFFFFF" w:val="clear"/>
            <w:vAlign w:val="center"/>
          </w:tcPr>
          <w:p>
            <w:pPr>
              <w:pStyle w:val="TableContents"/>
              <w:bidi w:val="0"/>
              <w:spacing w:before="0" w:after="283"/>
              <w:ind w:left="0" w:right="0" w:hanging="180"/>
              <w:jc w:val="left"/>
              <w:rPr/>
            </w:pPr>
            <w:r>
              <w:rPr/>
              <w:t>)</w:t>
            </w:r>
          </w:p>
        </w:tc>
      </w:tr>
      <w:tr>
        <w:trPr/>
        <w:tc>
          <w:tcPr>
            <w:tcW w:w="3607" w:type="dxa"/>
            <w:tcBorders/>
            <w:shd w:fill="CCEEFF" w:val="clear"/>
            <w:vAlign w:val="center"/>
          </w:tcPr>
          <w:p>
            <w:pPr>
              <w:pStyle w:val="TableContents"/>
              <w:bidi w:val="0"/>
              <w:spacing w:before="0" w:after="283"/>
              <w:jc w:val="left"/>
              <w:rPr/>
            </w:pPr>
            <w:r>
              <w:rPr/>
              <w:t>Net (loss) per share, basic and diluted</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48" w:type="dxa"/>
            <w:tcBorders/>
            <w:shd w:fill="CCEEFF" w:val="clear"/>
            <w:vAlign w:val="center"/>
          </w:tcPr>
          <w:p>
            <w:pPr>
              <w:pStyle w:val="TableContents"/>
              <w:bidi w:val="0"/>
              <w:spacing w:before="0" w:after="283"/>
              <w:jc w:val="right"/>
              <w:rPr/>
            </w:pPr>
            <w:r>
              <w:rPr/>
              <w:t>(0.28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3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469" w:type="dxa"/>
            <w:tcBorders/>
            <w:shd w:fill="CCEEFF" w:val="clear"/>
            <w:vAlign w:val="center"/>
          </w:tcPr>
          <w:p>
            <w:pPr>
              <w:pStyle w:val="TableContents"/>
              <w:bidi w:val="0"/>
              <w:spacing w:before="0" w:after="283"/>
              <w:jc w:val="right"/>
              <w:rPr/>
            </w:pPr>
            <w:r>
              <w:rPr/>
              <w:t>(0.06</w:t>
            </w:r>
          </w:p>
        </w:tc>
        <w:tc>
          <w:tcPr>
            <w:tcW w:w="214" w:type="dxa"/>
            <w:tcBorders/>
            <w:shd w:fill="CCEEFF" w:val="clear"/>
            <w:vAlign w:val="center"/>
          </w:tcPr>
          <w:p>
            <w:pPr>
              <w:pStyle w:val="TableContents"/>
              <w:bidi w:val="0"/>
              <w:spacing w:before="0" w:after="283"/>
              <w:ind w:left="0" w:right="0" w:hanging="180"/>
              <w:jc w:val="left"/>
              <w:rPr/>
            </w:pPr>
            <w:r>
              <w:rPr/>
              <w:t>)(h)</w:t>
            </w:r>
          </w:p>
        </w:tc>
      </w:tr>
      <w:tr>
        <w:trPr/>
        <w:tc>
          <w:tcPr>
            <w:tcW w:w="3607" w:type="dxa"/>
            <w:tcBorders/>
            <w:shd w:fill="FFFFFF" w:val="clear"/>
            <w:vAlign w:val="center"/>
          </w:tcPr>
          <w:p>
            <w:pPr>
              <w:pStyle w:val="TableContents"/>
              <w:bidi w:val="0"/>
              <w:spacing w:before="0" w:after="283"/>
              <w:jc w:val="left"/>
              <w:rPr/>
            </w:pPr>
            <w:r>
              <w:rPr/>
              <w:t>Weighted average shares used in computing net loss per share, basic and diluted</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72,458,652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296,707,370</w:t>
            </w:r>
          </w:p>
        </w:tc>
        <w:tc>
          <w:tcPr>
            <w:tcW w:w="214" w:type="dxa"/>
            <w:tcBorders/>
            <w:shd w:fill="FFFFFF" w:val="clear"/>
            <w:vAlign w:val="center"/>
          </w:tcPr>
          <w:p>
            <w:pPr>
              <w:pStyle w:val="TableContents"/>
              <w:bidi w:val="0"/>
              <w:spacing w:before="0" w:after="283"/>
              <w:ind w:left="0" w:right="0" w:hanging="180"/>
              <w:jc w:val="left"/>
              <w:rPr/>
            </w:pPr>
            <w:r>
              <w:rPr/>
              <w:t> </w:t>
            </w:r>
          </w:p>
        </w:tc>
      </w:tr>
      <w:tr>
        <w:trPr/>
        <w:tc>
          <w:tcPr>
            <w:tcW w:w="36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3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 </w:t>
            </w:r>
          </w:p>
        </w:tc>
        <w:tc>
          <w:tcPr>
            <w:tcW w:w="214" w:type="dxa"/>
            <w:tcBorders/>
            <w:shd w:fill="CCEEFF" w:val="clear"/>
            <w:vAlign w:val="center"/>
          </w:tcPr>
          <w:p>
            <w:pPr>
              <w:pStyle w:val="TableContents"/>
              <w:bidi w:val="0"/>
              <w:spacing w:before="0" w:after="283"/>
              <w:ind w:left="0" w:right="0" w:hanging="180"/>
              <w:jc w:val="left"/>
              <w:rPr/>
            </w:pPr>
            <w:r>
              <w:rPr/>
              <w:t> </w:t>
            </w:r>
          </w:p>
        </w:tc>
      </w:tr>
      <w:tr>
        <w:trPr/>
        <w:tc>
          <w:tcPr>
            <w:tcW w:w="3607" w:type="dxa"/>
            <w:tcBorders/>
            <w:shd w:fill="FFFFFF" w:val="clear"/>
            <w:vAlign w:val="center"/>
          </w:tcPr>
          <w:p>
            <w:pPr>
              <w:pStyle w:val="TableContents"/>
              <w:bidi w:val="0"/>
              <w:spacing w:before="0" w:after="283"/>
              <w:jc w:val="left"/>
              <w:rPr>
                <w:b/>
              </w:rPr>
            </w:pPr>
            <w:r>
              <w:rPr>
                <w:b/>
              </w:rPr>
              <w:t>Comprehensive loss: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 </w:t>
            </w:r>
          </w:p>
        </w:tc>
        <w:tc>
          <w:tcPr>
            <w:tcW w:w="214" w:type="dxa"/>
            <w:tcBorders/>
            <w:shd w:fill="FFFFFF" w:val="clear"/>
            <w:vAlign w:val="center"/>
          </w:tcPr>
          <w:p>
            <w:pPr>
              <w:pStyle w:val="TableContents"/>
              <w:bidi w:val="0"/>
              <w:spacing w:before="0" w:after="283"/>
              <w:ind w:left="0" w:right="0" w:hanging="180"/>
              <w:jc w:val="left"/>
              <w:rPr/>
            </w:pPr>
            <w:r>
              <w:rPr/>
              <w:t> </w:t>
            </w:r>
          </w:p>
        </w:tc>
      </w:tr>
      <w:tr>
        <w:trPr/>
        <w:tc>
          <w:tcPr>
            <w:tcW w:w="3607"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(20,604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899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2,628</w:t>
            </w:r>
          </w:p>
        </w:tc>
        <w:tc>
          <w:tcPr>
            <w:tcW w:w="3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(17,077</w:t>
            </w:r>
          </w:p>
        </w:tc>
        <w:tc>
          <w:tcPr>
            <w:tcW w:w="214" w:type="dxa"/>
            <w:tcBorders/>
            <w:shd w:fill="CCEEFF" w:val="clear"/>
            <w:vAlign w:val="center"/>
          </w:tcPr>
          <w:p>
            <w:pPr>
              <w:pStyle w:val="TableContents"/>
              <w:bidi w:val="0"/>
              <w:spacing w:before="0" w:after="283"/>
              <w:ind w:left="0" w:right="0" w:hanging="180"/>
              <w:jc w:val="left"/>
              <w:rPr/>
            </w:pPr>
            <w:r>
              <w:rPr/>
              <w:t>)</w:t>
            </w:r>
          </w:p>
        </w:tc>
      </w:tr>
      <w:tr>
        <w:trPr/>
        <w:tc>
          <w:tcPr>
            <w:tcW w:w="3607" w:type="dxa"/>
            <w:tcBorders/>
            <w:shd w:fill="FFFFFF" w:val="clear"/>
            <w:vAlign w:val="center"/>
          </w:tcPr>
          <w:p>
            <w:pPr>
              <w:pStyle w:val="TableContents"/>
              <w:bidi w:val="0"/>
              <w:spacing w:before="0" w:after="283"/>
              <w:jc w:val="left"/>
              <w:rPr/>
            </w:pPr>
            <w:r>
              <w:rPr/>
              <w:t>Cumulative translation adjustment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8" w:type="dxa"/>
            <w:tcBorders>
              <w:bottom w:val="single" w:sz="12" w:space="0" w:color="000000"/>
            </w:tcBorders>
            <w:shd w:fill="FFFFFF" w:val="clear"/>
            <w:tcMar>
              <w:bottom w:w="28" w:type="dxa"/>
            </w:tcMar>
            <w:vAlign w:val="center"/>
          </w:tcPr>
          <w:p>
            <w:pPr>
              <w:pStyle w:val="TableContents"/>
              <w:bidi w:val="0"/>
              <w:spacing w:before="0" w:after="283"/>
              <w:jc w:val="right"/>
              <w:rPr/>
            </w:pPr>
            <w:r>
              <w:rPr/>
              <w:t>(217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9" w:type="dxa"/>
            <w:tcBorders>
              <w:bottom w:val="single" w:sz="12" w:space="0" w:color="000000"/>
            </w:tcBorders>
            <w:shd w:fill="FFFFFF" w:val="clear"/>
            <w:tcMar>
              <w:bottom w:w="28" w:type="dxa"/>
            </w:tcMar>
            <w:vAlign w:val="center"/>
          </w:tcPr>
          <w:p>
            <w:pPr>
              <w:pStyle w:val="TableContents"/>
              <w:bidi w:val="0"/>
              <w:spacing w:before="0" w:after="283"/>
              <w:jc w:val="right"/>
              <w:rPr/>
            </w:pPr>
            <w:r>
              <w:rPr/>
              <w:t>(217</w:t>
            </w:r>
          </w:p>
        </w:tc>
        <w:tc>
          <w:tcPr>
            <w:tcW w:w="214" w:type="dxa"/>
            <w:tcBorders/>
            <w:shd w:fill="FFFFFF" w:val="clear"/>
            <w:vAlign w:val="center"/>
          </w:tcPr>
          <w:p>
            <w:pPr>
              <w:pStyle w:val="TableContents"/>
              <w:bidi w:val="0"/>
              <w:spacing w:before="0" w:after="283"/>
              <w:ind w:left="0" w:right="0" w:hanging="180"/>
              <w:jc w:val="left"/>
              <w:rPr/>
            </w:pPr>
            <w:r>
              <w:rPr/>
              <w:t>)</w:t>
            </w:r>
          </w:p>
        </w:tc>
      </w:tr>
      <w:tr>
        <w:trPr/>
        <w:tc>
          <w:tcPr>
            <w:tcW w:w="3607" w:type="dxa"/>
            <w:tcBorders/>
            <w:shd w:fill="CCEEFF" w:val="clear"/>
            <w:vAlign w:val="center"/>
          </w:tcPr>
          <w:p>
            <w:pPr>
              <w:pStyle w:val="TableContents"/>
              <w:bidi w:val="0"/>
              <w:spacing w:before="0" w:after="283"/>
              <w:jc w:val="left"/>
              <w:rPr/>
            </w:pPr>
            <w:r>
              <w:rPr/>
              <w:t>Net comprehensive income (loss)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48" w:type="dxa"/>
            <w:tcBorders>
              <w:bottom w:val="single" w:sz="12" w:space="0" w:color="000000"/>
            </w:tcBorders>
            <w:shd w:fill="CCEEFF" w:val="clear"/>
            <w:tcMar>
              <w:bottom w:w="28" w:type="dxa"/>
            </w:tcMar>
            <w:vAlign w:val="center"/>
          </w:tcPr>
          <w:p>
            <w:pPr>
              <w:pStyle w:val="TableContents"/>
              <w:bidi w:val="0"/>
              <w:spacing w:before="0" w:after="283"/>
              <w:jc w:val="right"/>
              <w:rPr/>
            </w:pPr>
            <w:r>
              <w:rPr/>
              <w:t>(20,821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40" w:type="dxa"/>
            <w:tcBorders>
              <w:bottom w:val="single" w:sz="12" w:space="0" w:color="000000"/>
            </w:tcBorders>
            <w:shd w:fill="CCEEFF" w:val="clear"/>
            <w:tcMar>
              <w:bottom w:w="28" w:type="dxa"/>
            </w:tcMar>
            <w:vAlign w:val="center"/>
          </w:tcPr>
          <w:p>
            <w:pPr>
              <w:pStyle w:val="TableContents"/>
              <w:bidi w:val="0"/>
              <w:spacing w:before="0" w:after="283"/>
              <w:jc w:val="right"/>
              <w:rPr/>
            </w:pPr>
            <w:r>
              <w:rPr/>
              <w:t>899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74" w:type="dxa"/>
            <w:tcBorders>
              <w:bottom w:val="single" w:sz="12" w:space="0" w:color="000000"/>
            </w:tcBorders>
            <w:shd w:fill="CCEEFF" w:val="clear"/>
            <w:tcMar>
              <w:bottom w:w="28" w:type="dxa"/>
            </w:tcMar>
            <w:vAlign w:val="center"/>
          </w:tcPr>
          <w:p>
            <w:pPr>
              <w:pStyle w:val="TableContents"/>
              <w:bidi w:val="0"/>
              <w:spacing w:before="0" w:after="283"/>
              <w:jc w:val="right"/>
              <w:rPr/>
            </w:pPr>
            <w:r>
              <w:rPr/>
              <w:t>2,628</w:t>
            </w:r>
          </w:p>
        </w:tc>
        <w:tc>
          <w:tcPr>
            <w:tcW w:w="3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469" w:type="dxa"/>
            <w:tcBorders>
              <w:bottom w:val="single" w:sz="12" w:space="0" w:color="000000"/>
            </w:tcBorders>
            <w:shd w:fill="CCEEFF" w:val="clear"/>
            <w:tcMar>
              <w:bottom w:w="28" w:type="dxa"/>
            </w:tcMar>
            <w:vAlign w:val="center"/>
          </w:tcPr>
          <w:p>
            <w:pPr>
              <w:pStyle w:val="TableContents"/>
              <w:bidi w:val="0"/>
              <w:spacing w:before="0" w:after="283"/>
              <w:jc w:val="right"/>
              <w:rPr/>
            </w:pPr>
            <w:r>
              <w:rPr/>
              <w:t>(17,294</w:t>
            </w:r>
          </w:p>
        </w:tc>
        <w:tc>
          <w:tcPr>
            <w:tcW w:w="214"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Adjustments to Unaudited Pro Forma Condensed Combined Statement of Operations and Comprehensive Loss for the year ended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 forma notes and adjustments, based on preliminary estimates that could change materially as additional information is obtained, are as follows (in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 Transaction Accounting Adjustments: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(a)</w:t>
            </w:r>
          </w:p>
        </w:tc>
        <w:tc>
          <w:tcPr>
            <w:tcW w:w="9935" w:type="dxa"/>
            <w:tcBorders/>
            <w:vAlign w:val="center"/>
          </w:tcPr>
          <w:p>
            <w:pPr>
              <w:pStyle w:val="TableContents"/>
              <w:bidi w:val="0"/>
              <w:spacing w:before="0" w:after="283"/>
              <w:jc w:val="both"/>
              <w:rPr/>
            </w:pPr>
            <w:r>
              <w:rPr/>
              <w:t>Reflects additional transaction costs which occurred after the year end up to the date of the Transactions and includes costs incurred by both Old Xanadu and CHAC. The Transactions are not expected to have a recurring impact.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(b)</w:t>
            </w:r>
          </w:p>
        </w:tc>
        <w:tc>
          <w:tcPr>
            <w:tcW w:w="9907" w:type="dxa"/>
            <w:tcBorders/>
            <w:vAlign w:val="center"/>
          </w:tcPr>
          <w:p>
            <w:pPr>
              <w:pStyle w:val="TableContents"/>
              <w:bidi w:val="0"/>
              <w:spacing w:before="0" w:after="283"/>
              <w:jc w:val="both"/>
              <w:rPr/>
            </w:pPr>
            <w:r>
              <w:rPr/>
              <w:t>Reflects the elimination of the 2025 fair value remeasurement of the warrant liabilities recorded in other operating income (expense), net within the 2025 fiscal year.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(c)</w:t>
            </w:r>
          </w:p>
        </w:tc>
        <w:tc>
          <w:tcPr>
            <w:tcW w:w="9913" w:type="dxa"/>
            <w:tcBorders/>
            <w:vAlign w:val="center"/>
          </w:tcPr>
          <w:p>
            <w:pPr>
              <w:pStyle w:val="TableContents"/>
              <w:bidi w:val="0"/>
              <w:spacing w:before="0" w:after="283"/>
              <w:jc w:val="both"/>
              <w:rPr/>
            </w:pPr>
            <w:r>
              <w:rPr/>
              <w:t>Reflects the pro forma adjustments to eliminate the interest income earned and unrealized gain on investments held in CHAC’s trust account.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(d)</w:t>
            </w:r>
          </w:p>
        </w:tc>
        <w:tc>
          <w:tcPr>
            <w:tcW w:w="9945" w:type="dxa"/>
            <w:tcBorders/>
            <w:vAlign w:val="center"/>
          </w:tcPr>
          <w:p>
            <w:pPr>
              <w:pStyle w:val="TableContents"/>
              <w:bidi w:val="0"/>
              <w:spacing w:before="0" w:after="283"/>
              <w:jc w:val="both"/>
              <w:rPr/>
            </w:pPr>
            <w:r>
              <w:rPr/>
              <w:t>Reflects the pro forma basic and diluted earnings per share amounts presented in the unaudited pro forma condensed combined statement of operations and comprehensive loss based upon the number of Old Xanadu Common Shares outstanding immediately prior to the closing of the Transactions, assuming the Transactions occurred on January 1, 2025. The share count as of January 1, 2025 was assumed to be the total balance of shares outstanding as of December 31, 2025, including the assumption that all share options exercised during the year ended December 31, 2025 occurred on January 1, 2025. As the unaudited pro forma condensed combined statement of operations and comprehensive loss is in a loss position, anti-dilutive instruments were not included in the calculation of diluted weighted average number of shares outstanding (the anti-dilutive instruments are described below).</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weighted average shares outstanding — basic and diluted is calculated as follows:</w:t>
      </w:r>
    </w:p>
    <w:p>
      <w:pPr>
        <w:pStyle w:val="TextBody"/>
        <w:bidi w:val="0"/>
        <w:spacing w:before="0" w:after="0"/>
        <w:ind w:left="0" w:right="0" w:firstLine="360"/>
        <w:jc w:val="both"/>
        <w:rPr>
          <w:caps w:val="false"/>
          <w:smallCaps w:val="false"/>
        </w:rPr>
      </w:pPr>
      <w:r>
        <w:rPr>
          <w:caps w:val="false"/>
          <w:smallCaps w:val="false"/>
        </w:rPr>
        <w:t> </w:t>
      </w:r>
    </w:p>
    <w:tbl>
      <w:tblPr>
        <w:tblW w:w="7859" w:type="dxa"/>
        <w:jc w:val="left"/>
        <w:tblInd w:w="0" w:type="dxa"/>
        <w:tblLayout w:type="fixed"/>
        <w:tblCellMar>
          <w:top w:w="0" w:type="dxa"/>
          <w:left w:w="0" w:type="dxa"/>
          <w:bottom w:w="0" w:type="dxa"/>
          <w:right w:w="0" w:type="dxa"/>
        </w:tblCellMar>
      </w:tblPr>
      <w:tblGrid>
        <w:gridCol w:w="6215"/>
        <w:gridCol w:w="60"/>
        <w:gridCol w:w="151"/>
        <w:gridCol w:w="1323"/>
        <w:gridCol w:w="110"/>
      </w:tblGrid>
      <w:tr>
        <w:trPr/>
        <w:tc>
          <w:tcPr>
            <w:tcW w:w="6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2025</w:t>
            </w:r>
          </w:p>
        </w:tc>
        <w:tc>
          <w:tcPr>
            <w:tcW w:w="110" w:type="dxa"/>
            <w:tcBorders/>
            <w:vAlign w:val="center"/>
          </w:tcPr>
          <w:p>
            <w:pPr>
              <w:pStyle w:val="TableContents"/>
              <w:bidi w:val="0"/>
              <w:spacing w:before="0" w:after="283"/>
              <w:jc w:val="left"/>
              <w:rPr/>
            </w:pPr>
            <w:r>
              <w:rPr/>
              <w:t> </w:t>
            </w:r>
          </w:p>
        </w:tc>
      </w:tr>
      <w:tr>
        <w:trPr/>
        <w:tc>
          <w:tcPr>
            <w:tcW w:w="6215" w:type="dxa"/>
            <w:tcBorders/>
            <w:vAlign w:val="center"/>
          </w:tcPr>
          <w:p>
            <w:pPr>
              <w:pStyle w:val="TableContents"/>
              <w:bidi w:val="0"/>
              <w:spacing w:before="0" w:after="283"/>
              <w:jc w:val="left"/>
              <w:rPr>
                <w:i/>
              </w:rPr>
            </w:pPr>
            <w:r>
              <w:rPr>
                <w:i/>
              </w:rPr>
              <w:t>(In thousands, except share and per share data)</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215" w:type="dxa"/>
            <w:tcBorders/>
            <w:vAlign w:val="center"/>
          </w:tcPr>
          <w:p>
            <w:pPr>
              <w:pStyle w:val="TableContents"/>
              <w:bidi w:val="0"/>
              <w:spacing w:before="0" w:after="283"/>
              <w:jc w:val="left"/>
              <w:rPr>
                <w:b/>
              </w:rPr>
            </w:pPr>
            <w:r>
              <w:rPr>
                <w:b/>
              </w:rPr>
              <w:t>Numerator:</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pPr>
            <w:r>
              <w:rPr/>
              <w:t>Pro forma net (loss)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323" w:type="dxa"/>
            <w:tcBorders/>
            <w:shd w:fill="CCEEFF" w:val="clear"/>
            <w:vAlign w:val="center"/>
          </w:tcPr>
          <w:p>
            <w:pPr>
              <w:pStyle w:val="TableContents"/>
              <w:bidi w:val="0"/>
              <w:spacing w:before="0" w:after="283"/>
              <w:jc w:val="right"/>
              <w:rPr/>
            </w:pPr>
            <w:r>
              <w:rPr/>
              <w:t>(77,845</w:t>
            </w:r>
          </w:p>
        </w:tc>
        <w:tc>
          <w:tcPr>
            <w:tcW w:w="110" w:type="dxa"/>
            <w:tcBorders/>
            <w:shd w:fill="CCEEFF" w:val="clear"/>
            <w:vAlign w:val="center"/>
          </w:tcPr>
          <w:p>
            <w:pPr>
              <w:pStyle w:val="TableContents"/>
              <w:bidi w:val="0"/>
              <w:spacing w:before="0" w:after="283"/>
              <w:jc w:val="left"/>
              <w:rPr/>
            </w:pPr>
            <w:r>
              <w:rPr/>
              <w:t>)</w:t>
            </w:r>
          </w:p>
        </w:tc>
      </w:tr>
      <w:tr>
        <w:trPr/>
        <w:tc>
          <w:tcPr>
            <w:tcW w:w="6215" w:type="dxa"/>
            <w:tcBorders/>
            <w:shd w:fill="FFFFFF" w:val="clear"/>
            <w:vAlign w:val="center"/>
          </w:tcPr>
          <w:p>
            <w:pPr>
              <w:pStyle w:val="TableContents"/>
              <w:bidi w:val="0"/>
              <w:spacing w:before="0" w:after="283"/>
              <w:jc w:val="left"/>
              <w:rPr>
                <w:b/>
              </w:rPr>
            </w:pPr>
            <w:r>
              <w:rPr>
                <w:b/>
              </w:rPr>
              <w:t>Denominator:</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2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Old Xanadu Shareholders</w:t>
            </w:r>
            <w:r>
              <w:rPr>
                <w:rFonts w:ascii="Times New Roman;Times;Serif" w:hAnsi="Times New Roman;Times;Serif"/>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255,894,945</w:t>
            </w:r>
          </w:p>
        </w:tc>
        <w:tc>
          <w:tcPr>
            <w:tcW w:w="11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PIPE Investors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23" w:type="dxa"/>
            <w:tcBorders/>
            <w:shd w:fill="FFFFFF" w:val="clear"/>
            <w:vAlign w:val="center"/>
          </w:tcPr>
          <w:p>
            <w:pPr>
              <w:pStyle w:val="TableContents"/>
              <w:bidi w:val="0"/>
              <w:spacing w:before="0" w:after="283"/>
              <w:jc w:val="right"/>
              <w:rPr/>
            </w:pPr>
            <w:r>
              <w:rPr/>
              <w:t>27,500,000</w:t>
            </w:r>
          </w:p>
        </w:tc>
        <w:tc>
          <w:tcPr>
            <w:tcW w:w="11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pPr>
            <w:r>
              <w:rPr/>
              <w:t>CHAC Public Shareholders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4,771,604</w:t>
            </w:r>
          </w:p>
        </w:tc>
        <w:tc>
          <w:tcPr>
            <w:tcW w:w="11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CHAC Private Placement Shareholders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23" w:type="dxa"/>
            <w:tcBorders/>
            <w:shd w:fill="FFFFFF" w:val="clear"/>
            <w:vAlign w:val="center"/>
          </w:tcPr>
          <w:p>
            <w:pPr>
              <w:pStyle w:val="TableContents"/>
              <w:bidi w:val="0"/>
              <w:spacing w:before="0" w:after="283"/>
              <w:jc w:val="right"/>
              <w:rPr/>
            </w:pPr>
            <w:r>
              <w:rPr/>
              <w:t>704,000</w:t>
            </w:r>
          </w:p>
        </w:tc>
        <w:tc>
          <w:tcPr>
            <w:tcW w:w="11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pPr>
            <w:r>
              <w:rPr/>
              <w:t>CHAC Sponsor shares (includes Earn-out Shares)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3" w:type="dxa"/>
            <w:tcBorders>
              <w:bottom w:val="single" w:sz="12" w:space="0" w:color="000000"/>
            </w:tcBorders>
            <w:shd w:fill="CCEEFF" w:val="clear"/>
            <w:tcMar>
              <w:bottom w:w="28" w:type="dxa"/>
            </w:tcMar>
            <w:vAlign w:val="center"/>
          </w:tcPr>
          <w:p>
            <w:pPr>
              <w:pStyle w:val="TableContents"/>
              <w:bidi w:val="0"/>
              <w:spacing w:before="0" w:after="283"/>
              <w:jc w:val="right"/>
              <w:rPr/>
            </w:pPr>
            <w:r>
              <w:rPr/>
              <w:t>7,333,333</w:t>
            </w:r>
          </w:p>
        </w:tc>
        <w:tc>
          <w:tcPr>
            <w:tcW w:w="11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Pro forma weighted average shares outstanding, basic and diluted</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3" w:type="dxa"/>
            <w:tcBorders>
              <w:bottom w:val="single" w:sz="12" w:space="0" w:color="000000"/>
            </w:tcBorders>
            <w:shd w:fill="FFFFFF" w:val="clear"/>
            <w:tcMar>
              <w:bottom w:w="28" w:type="dxa"/>
            </w:tcMar>
            <w:vAlign w:val="center"/>
          </w:tcPr>
          <w:p>
            <w:pPr>
              <w:pStyle w:val="TableContents"/>
              <w:bidi w:val="0"/>
              <w:spacing w:before="0" w:after="283"/>
              <w:jc w:val="right"/>
              <w:rPr/>
            </w:pPr>
            <w:r>
              <w:rPr/>
              <w:t>296,203,882</w:t>
            </w:r>
          </w:p>
        </w:tc>
        <w:tc>
          <w:tcPr>
            <w:tcW w:w="11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 forma basic and diluted net (loss) per share</w:t>
            </w:r>
            <w:r>
              <w:rPr>
                <w:rFonts w:ascii="Times New Roman;Times;Serif" w:hAnsi="Times New Roman;Times;Serif"/>
                <w:position w:val="8"/>
                <w:sz w:val="19"/>
              </w:rPr>
              <w:t>(2)(3)</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3" w:type="dxa"/>
            <w:tcBorders>
              <w:bottom w:val="double" w:sz="10" w:space="0" w:color="000000"/>
            </w:tcBorders>
            <w:shd w:fill="CCEEFF" w:val="clear"/>
            <w:tcMar>
              <w:bottom w:w="28" w:type="dxa"/>
            </w:tcMar>
            <w:vAlign w:val="center"/>
          </w:tcPr>
          <w:p>
            <w:pPr>
              <w:pStyle w:val="TableContents"/>
              <w:bidi w:val="0"/>
              <w:spacing w:before="0" w:after="283"/>
              <w:jc w:val="right"/>
              <w:rPr/>
            </w:pPr>
            <w:r>
              <w:rPr/>
              <w:t>(0.26</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480" w:right="0" w:hanging="48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(1)</w:t>
            </w:r>
          </w:p>
        </w:tc>
        <w:tc>
          <w:tcPr>
            <w:tcW w:w="9946" w:type="dxa"/>
            <w:tcBorders/>
            <w:vAlign w:val="center"/>
          </w:tcPr>
          <w:p>
            <w:pPr>
              <w:pStyle w:val="TableContents"/>
              <w:bidi w:val="0"/>
              <w:spacing w:before="0" w:after="283"/>
              <w:jc w:val="both"/>
              <w:rPr/>
            </w:pPr>
            <w:r>
              <w:rPr/>
              <w:t>The share count as of January 1, 2025 was assumed to be the total balance of shares outstanding as of December 31, 2025, including the assumption that all share options exercised during the year ended December 31, 2025 occurred on January 1, 2025.</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(2)</w:t>
            </w:r>
          </w:p>
        </w:tc>
        <w:tc>
          <w:tcPr>
            <w:tcW w:w="9942" w:type="dxa"/>
            <w:tcBorders/>
            <w:vAlign w:val="center"/>
          </w:tcPr>
          <w:p>
            <w:pPr>
              <w:pStyle w:val="TableContents"/>
              <w:bidi w:val="0"/>
              <w:spacing w:before="0" w:after="283"/>
              <w:jc w:val="both"/>
              <w:rPr/>
            </w:pPr>
            <w:r>
              <w:rPr/>
              <w:t>Because basic and diluted weighted average shares outstanding are the same in a net loss position, combined pro forma diluted net loss per share excludes 677,934 Old Xanadu Warrants and 49,486,556 Old Xanadu Options.</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(3)</w:t>
            </w:r>
          </w:p>
        </w:tc>
        <w:tc>
          <w:tcPr>
            <w:tcW w:w="9939" w:type="dxa"/>
            <w:tcBorders/>
            <w:vAlign w:val="center"/>
          </w:tcPr>
          <w:p>
            <w:pPr>
              <w:pStyle w:val="TableContents"/>
              <w:bidi w:val="0"/>
              <w:spacing w:before="0" w:after="283"/>
              <w:jc w:val="both"/>
              <w:rPr/>
            </w:pPr>
            <w:r>
              <w:rPr/>
              <w:t>The combined pro forma basic net loss per share and diluted loss per share includes the impact of earn-out consideration comprising 1,100,000 shares of Earn-out Shares, as the shares have been issued.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Xanadu’s pro forma options and warrants as of December 31, 2025 are as follows based on an Exchange Ratio of 11.28:</w:t>
      </w:r>
    </w:p>
    <w:p>
      <w:pPr>
        <w:pStyle w:val="TextBody"/>
        <w:bidi w:val="0"/>
        <w:spacing w:before="0" w:after="0"/>
        <w:ind w:left="0" w:right="0" w:firstLine="360"/>
        <w:jc w:val="both"/>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5285"/>
        <w:gridCol w:w="60"/>
        <w:gridCol w:w="60"/>
        <w:gridCol w:w="1100"/>
        <w:gridCol w:w="75"/>
      </w:tblGrid>
      <w:tr>
        <w:trPr/>
        <w:tc>
          <w:tcPr>
            <w:tcW w:w="5285" w:type="dxa"/>
            <w:tcBorders/>
            <w:shd w:fill="CCEEFF" w:val="clear"/>
            <w:vAlign w:val="center"/>
          </w:tcPr>
          <w:p>
            <w:pPr>
              <w:pStyle w:val="TableContents"/>
              <w:bidi w:val="0"/>
              <w:spacing w:before="0" w:after="283"/>
              <w:ind w:left="0" w:right="0" w:hanging="200"/>
              <w:jc w:val="left"/>
              <w:rPr/>
            </w:pPr>
            <w:r>
              <w:rPr/>
              <w:t>Old Xanadu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677,934</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5285" w:type="dxa"/>
            <w:tcBorders/>
            <w:shd w:fill="FFFFFF" w:val="clear"/>
            <w:vAlign w:val="center"/>
          </w:tcPr>
          <w:p>
            <w:pPr>
              <w:pStyle w:val="TableContents"/>
              <w:bidi w:val="0"/>
              <w:spacing w:before="0" w:after="283"/>
              <w:jc w:val="left"/>
              <w:rPr/>
            </w:pPr>
            <w:r>
              <w:rPr/>
              <w:t>Old Xanadu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49,486,556</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5285" w:type="dxa"/>
            <w:tcBorders/>
            <w:shd w:fill="CCEEFF" w:val="clear"/>
            <w:vAlign w:val="center"/>
          </w:tcPr>
          <w:p>
            <w:pPr>
              <w:pStyle w:val="TableContents"/>
              <w:bidi w:val="0"/>
              <w:spacing w:before="0" w:after="283"/>
              <w:jc w:val="left"/>
              <w:rPr/>
            </w:pPr>
            <w:r>
              <w:rPr/>
              <w:t>Total Xanadu Shares issuable to Old Xanadu (Dilutive)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50,164,490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Adjustments to Unaudited Pro Forma Condensed Combined Statement of Operations and Comprehensive Loss for the three month period ended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 forma notes and adjustments, based on preliminary estimates that could change materially as additional information is obtained, are as follows (in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 Transaction Accounting Adjustments: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63" w:type="dxa"/>
            <w:tcBorders/>
            <w:vAlign w:val="center"/>
          </w:tcPr>
          <w:p>
            <w:pPr>
              <w:pStyle w:val="TableContents"/>
              <w:bidi w:val="0"/>
              <w:spacing w:before="0" w:after="283"/>
              <w:jc w:val="both"/>
              <w:rPr/>
            </w:pPr>
            <w:r>
              <w:rPr/>
              <w:t>Reflects the recording of the post December 31, 2025 transaction costs in the 2025 unaudited pro forma condensed combined statement of operations and comprehensive loss.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(e)</w:t>
            </w:r>
          </w:p>
        </w:tc>
        <w:tc>
          <w:tcPr>
            <w:tcW w:w="9929" w:type="dxa"/>
            <w:tcBorders/>
            <w:vAlign w:val="center"/>
          </w:tcPr>
          <w:p>
            <w:pPr>
              <w:pStyle w:val="TableContents"/>
              <w:bidi w:val="0"/>
              <w:spacing w:before="0" w:after="283"/>
              <w:jc w:val="both"/>
              <w:rPr/>
            </w:pPr>
            <w:r>
              <w:rPr/>
              <w:t>Reflects the elimination of the 2026 fair value remeasurement of the warrant liabilities recorded in other operating (income) expense, net within the three month period ended March 31, 2026.</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(f)</w:t>
            </w:r>
          </w:p>
        </w:tc>
        <w:tc>
          <w:tcPr>
            <w:tcW w:w="9943" w:type="dxa"/>
            <w:tcBorders/>
            <w:vAlign w:val="center"/>
          </w:tcPr>
          <w:p>
            <w:pPr>
              <w:pStyle w:val="TableContents"/>
              <w:bidi w:val="0"/>
              <w:spacing w:before="0" w:after="283"/>
              <w:jc w:val="both"/>
              <w:rPr/>
            </w:pPr>
            <w:r>
              <w:rPr/>
              <w:t>Reflects the pro forma adjustments to eliminate the interest income earned and unrealized gain on investments held in CHAC’s trust account.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(g)</w:t>
            </w:r>
          </w:p>
        </w:tc>
        <w:tc>
          <w:tcPr>
            <w:tcW w:w="9917" w:type="dxa"/>
            <w:tcBorders/>
            <w:vAlign w:val="center"/>
          </w:tcPr>
          <w:p>
            <w:pPr>
              <w:pStyle w:val="TableContents"/>
              <w:bidi w:val="0"/>
              <w:spacing w:before="0" w:after="283"/>
              <w:jc w:val="both"/>
              <w:rPr/>
            </w:pPr>
            <w:r>
              <w:rPr/>
              <w:t>Reflects the elimination of the 2026 fair value remeasurement of the earn out share liabilities recorded in gain on fair value of earn out share liabilities within the three month period ended March 31, 2026</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(h)</w:t>
            </w:r>
          </w:p>
        </w:tc>
        <w:tc>
          <w:tcPr>
            <w:tcW w:w="9942" w:type="dxa"/>
            <w:tcBorders/>
            <w:vAlign w:val="center"/>
          </w:tcPr>
          <w:p>
            <w:pPr>
              <w:pStyle w:val="TableContents"/>
              <w:bidi w:val="0"/>
              <w:spacing w:before="0" w:after="283"/>
              <w:jc w:val="both"/>
              <w:rPr/>
            </w:pPr>
            <w:r>
              <w:rPr/>
              <w:t>Reflects the pro forma basic and diluted earnings per share amounts presented in the unaudited pro forma condensed combined statement of operations and comprehensive loss based upon the number of Old Xanadu Common Shares outstanding immediately prior to the closing of the Transactions, assuming the Transactions occurred on January 1, 2026. As the unaudited pro forma condensed combined statement of operations and comprehensive loss is in a loss position, anti-dilutive instruments were not included in the calculation of diluted weighted average number of shares outstanding (the anti-dilutive instruments are described below).</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weighted average shares outstanding — basic and diluted is calculated as follows:</w:t>
      </w:r>
    </w:p>
    <w:p>
      <w:pPr>
        <w:pStyle w:val="TextBody"/>
        <w:bidi w:val="0"/>
        <w:spacing w:before="0" w:after="0"/>
        <w:ind w:left="0" w:right="0" w:firstLine="360"/>
        <w:jc w:val="both"/>
        <w:rPr>
          <w:caps w:val="false"/>
          <w:smallCaps w:val="false"/>
        </w:rPr>
      </w:pPr>
      <w:r>
        <w:rPr>
          <w:caps w:val="false"/>
          <w:smallCaps w:val="false"/>
        </w:rPr>
        <w:t> </w:t>
      </w:r>
    </w:p>
    <w:tbl>
      <w:tblPr>
        <w:tblW w:w="7814" w:type="dxa"/>
        <w:jc w:val="left"/>
        <w:tblInd w:w="0" w:type="dxa"/>
        <w:tblLayout w:type="fixed"/>
        <w:tblCellMar>
          <w:top w:w="0" w:type="dxa"/>
          <w:left w:w="0" w:type="dxa"/>
          <w:bottom w:w="0" w:type="dxa"/>
          <w:right w:w="0" w:type="dxa"/>
        </w:tblCellMar>
      </w:tblPr>
      <w:tblGrid>
        <w:gridCol w:w="6215"/>
        <w:gridCol w:w="60"/>
        <w:gridCol w:w="147"/>
        <w:gridCol w:w="1282"/>
        <w:gridCol w:w="110"/>
      </w:tblGrid>
      <w:tr>
        <w:trPr/>
        <w:tc>
          <w:tcPr>
            <w:tcW w:w="6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w:t>
              <w:br/>
              <w:t>Period Ended</w:t>
              <w:br/>
              <w:t>March 31,</w:t>
              <w:br/>
              <w:t>2026</w:t>
            </w:r>
          </w:p>
        </w:tc>
        <w:tc>
          <w:tcPr>
            <w:tcW w:w="110" w:type="dxa"/>
            <w:tcBorders/>
            <w:vAlign w:val="center"/>
          </w:tcPr>
          <w:p>
            <w:pPr>
              <w:pStyle w:val="TableContents"/>
              <w:bidi w:val="0"/>
              <w:spacing w:before="0" w:after="283"/>
              <w:jc w:val="left"/>
              <w:rPr/>
            </w:pPr>
            <w:r>
              <w:rPr/>
              <w:t> </w:t>
            </w:r>
          </w:p>
        </w:tc>
      </w:tr>
      <w:tr>
        <w:trPr/>
        <w:tc>
          <w:tcPr>
            <w:tcW w:w="6215" w:type="dxa"/>
            <w:tcBorders/>
            <w:vAlign w:val="center"/>
          </w:tcPr>
          <w:p>
            <w:pPr>
              <w:pStyle w:val="TableContents"/>
              <w:bidi w:val="0"/>
              <w:spacing w:before="0" w:after="283"/>
              <w:jc w:val="left"/>
              <w:rPr>
                <w:i/>
              </w:rPr>
            </w:pPr>
            <w:r>
              <w:rPr>
                <w:i/>
              </w:rPr>
              <w:t>(In thousands, except share and per share data)</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215" w:type="dxa"/>
            <w:tcBorders/>
            <w:vAlign w:val="center"/>
          </w:tcPr>
          <w:p>
            <w:pPr>
              <w:pStyle w:val="TableContents"/>
              <w:bidi w:val="0"/>
              <w:spacing w:before="0" w:after="283"/>
              <w:jc w:val="left"/>
              <w:rPr>
                <w:b/>
              </w:rPr>
            </w:pPr>
            <w:r>
              <w:rPr>
                <w:b/>
              </w:rPr>
              <w:t>Numerator:</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pPr>
            <w:r>
              <w:rPr/>
              <w:t>Pro forma net income (loss)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282" w:type="dxa"/>
            <w:tcBorders/>
            <w:shd w:fill="CCEEFF" w:val="clear"/>
            <w:vAlign w:val="center"/>
          </w:tcPr>
          <w:p>
            <w:pPr>
              <w:pStyle w:val="TableContents"/>
              <w:bidi w:val="0"/>
              <w:spacing w:before="0" w:after="283"/>
              <w:jc w:val="right"/>
              <w:rPr/>
            </w:pPr>
            <w:r>
              <w:rPr/>
              <w:t>(17,077</w:t>
            </w:r>
          </w:p>
        </w:tc>
        <w:tc>
          <w:tcPr>
            <w:tcW w:w="110" w:type="dxa"/>
            <w:tcBorders/>
            <w:shd w:fill="CCEEFF" w:val="clear"/>
            <w:vAlign w:val="center"/>
          </w:tcPr>
          <w:p>
            <w:pPr>
              <w:pStyle w:val="TableContents"/>
              <w:bidi w:val="0"/>
              <w:spacing w:before="0" w:after="283"/>
              <w:jc w:val="left"/>
              <w:rPr/>
            </w:pPr>
            <w:r>
              <w:rPr/>
              <w:t>)</w:t>
            </w:r>
          </w:p>
        </w:tc>
      </w:tr>
      <w:tr>
        <w:trPr/>
        <w:tc>
          <w:tcPr>
            <w:tcW w:w="6215" w:type="dxa"/>
            <w:tcBorders/>
            <w:shd w:fill="FFFFFF" w:val="clear"/>
            <w:vAlign w:val="center"/>
          </w:tcPr>
          <w:p>
            <w:pPr>
              <w:pStyle w:val="TableContents"/>
              <w:bidi w:val="0"/>
              <w:spacing w:before="0" w:after="283"/>
              <w:jc w:val="left"/>
              <w:rPr>
                <w:b/>
              </w:rPr>
            </w:pPr>
            <w:r>
              <w:rPr>
                <w:b/>
              </w:rPr>
              <w:t>Denominator:</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pPr>
            <w:r>
              <w:rPr/>
              <w:t>Old Xanadu Shareholders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256,398,433</w:t>
            </w:r>
          </w:p>
        </w:tc>
        <w:tc>
          <w:tcPr>
            <w:tcW w:w="11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PIPE Investors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27,500,000</w:t>
            </w:r>
          </w:p>
        </w:tc>
        <w:tc>
          <w:tcPr>
            <w:tcW w:w="11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pPr>
            <w:r>
              <w:rPr/>
              <w:t>CHAC Public Shareholders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4,771,604</w:t>
            </w:r>
          </w:p>
        </w:tc>
        <w:tc>
          <w:tcPr>
            <w:tcW w:w="11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CHAC Private Placement Shareholders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704,000</w:t>
            </w:r>
          </w:p>
        </w:tc>
        <w:tc>
          <w:tcPr>
            <w:tcW w:w="11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pPr>
            <w:r>
              <w:rPr/>
              <w:t>CHAC Sponsor shares (includes Earn-out Shares)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CCEEFF" w:val="clear"/>
            <w:tcMar>
              <w:bottom w:w="28" w:type="dxa"/>
            </w:tcMar>
            <w:vAlign w:val="center"/>
          </w:tcPr>
          <w:p>
            <w:pPr>
              <w:pStyle w:val="TableContents"/>
              <w:bidi w:val="0"/>
              <w:spacing w:before="0" w:after="283"/>
              <w:jc w:val="right"/>
              <w:rPr/>
            </w:pPr>
            <w:r>
              <w:rPr/>
              <w:t>7,333,333</w:t>
            </w:r>
          </w:p>
        </w:tc>
        <w:tc>
          <w:tcPr>
            <w:tcW w:w="11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Pro forma weighted average shares outstanding, basic and diluted</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FFFFFF" w:val="clear"/>
            <w:tcMar>
              <w:bottom w:w="28" w:type="dxa"/>
            </w:tcMar>
            <w:vAlign w:val="center"/>
          </w:tcPr>
          <w:p>
            <w:pPr>
              <w:pStyle w:val="TableContents"/>
              <w:bidi w:val="0"/>
              <w:spacing w:before="0" w:after="283"/>
              <w:jc w:val="right"/>
              <w:rPr/>
            </w:pPr>
            <w:r>
              <w:rPr/>
              <w:t>296,707,370</w:t>
            </w:r>
          </w:p>
        </w:tc>
        <w:tc>
          <w:tcPr>
            <w:tcW w:w="11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 forma basic and diluted net income (loss) per share</w:t>
            </w:r>
            <w:r>
              <w:rPr>
                <w:rFonts w:ascii="Times New Roman;Times;Serif" w:hAnsi="Times New Roman;Times;Serif"/>
                <w:position w:val="8"/>
                <w:sz w:val="19"/>
              </w:rPr>
              <w:t>(1)(2)</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82" w:type="dxa"/>
            <w:tcBorders>
              <w:bottom w:val="double" w:sz="10" w:space="0" w:color="000000"/>
            </w:tcBorders>
            <w:shd w:fill="CCEEFF" w:val="clear"/>
            <w:tcMar>
              <w:bottom w:w="28" w:type="dxa"/>
            </w:tcMar>
            <w:vAlign w:val="center"/>
          </w:tcPr>
          <w:p>
            <w:pPr>
              <w:pStyle w:val="TableContents"/>
              <w:bidi w:val="0"/>
              <w:spacing w:before="0" w:after="283"/>
              <w:jc w:val="right"/>
              <w:rPr/>
            </w:pPr>
            <w:r>
              <w:rPr/>
              <w:t>(0.06</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(1)</w:t>
            </w:r>
          </w:p>
        </w:tc>
        <w:tc>
          <w:tcPr>
            <w:tcW w:w="9942" w:type="dxa"/>
            <w:tcBorders/>
            <w:vAlign w:val="center"/>
          </w:tcPr>
          <w:p>
            <w:pPr>
              <w:pStyle w:val="TableContents"/>
              <w:bidi w:val="0"/>
              <w:spacing w:before="0" w:after="283"/>
              <w:jc w:val="both"/>
              <w:rPr/>
            </w:pPr>
            <w:r>
              <w:rPr/>
              <w:t>Because basic and diluted weighted average shares outstanding are the same in a net loss position, combined pro forma diluted net loss per share excludes 157,960 Old Xanadu Warrants and 47,237,616 Old Xanadu Options.</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(2)</w:t>
            </w:r>
          </w:p>
        </w:tc>
        <w:tc>
          <w:tcPr>
            <w:tcW w:w="9939" w:type="dxa"/>
            <w:tcBorders/>
            <w:vAlign w:val="center"/>
          </w:tcPr>
          <w:p>
            <w:pPr>
              <w:pStyle w:val="TableContents"/>
              <w:bidi w:val="0"/>
              <w:spacing w:before="0" w:after="283"/>
              <w:jc w:val="both"/>
              <w:rPr/>
            </w:pPr>
            <w:r>
              <w:rPr/>
              <w:t>The combined pro forma basic net loss per share and diluted loss per share includes the impact of earn-out consideration comprising 1,100,000 shares of Earn-out Shares, as the shares have been issued.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Xanadu’s pro forma options and warrants as of March 31, 2026 are as follows based on an Exchange Ratio of 11.28:</w:t>
      </w:r>
    </w:p>
    <w:p>
      <w:pPr>
        <w:pStyle w:val="TextBody"/>
        <w:bidi w:val="0"/>
        <w:spacing w:before="0" w:after="0"/>
        <w:ind w:left="0" w:right="0" w:firstLine="360"/>
        <w:jc w:val="both"/>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5285"/>
        <w:gridCol w:w="60"/>
        <w:gridCol w:w="60"/>
        <w:gridCol w:w="1100"/>
        <w:gridCol w:w="75"/>
      </w:tblGrid>
      <w:tr>
        <w:trPr/>
        <w:tc>
          <w:tcPr>
            <w:tcW w:w="5285" w:type="dxa"/>
            <w:tcBorders/>
            <w:shd w:fill="CCEEFF" w:val="clear"/>
            <w:vAlign w:val="center"/>
          </w:tcPr>
          <w:p>
            <w:pPr>
              <w:pStyle w:val="TableContents"/>
              <w:bidi w:val="0"/>
              <w:spacing w:before="0" w:after="283"/>
              <w:ind w:left="0" w:right="0" w:hanging="200"/>
              <w:jc w:val="left"/>
              <w:rPr/>
            </w:pPr>
            <w:r>
              <w:rPr/>
              <w:t>Old Xanadu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157,960</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5285" w:type="dxa"/>
            <w:tcBorders/>
            <w:shd w:fill="FFFFFF" w:val="clear"/>
            <w:vAlign w:val="center"/>
          </w:tcPr>
          <w:p>
            <w:pPr>
              <w:pStyle w:val="TableContents"/>
              <w:bidi w:val="0"/>
              <w:spacing w:before="0" w:after="283"/>
              <w:jc w:val="left"/>
              <w:rPr/>
            </w:pPr>
            <w:r>
              <w:rPr/>
              <w:t>Old Xanadu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47,237,616</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5285" w:type="dxa"/>
            <w:tcBorders/>
            <w:shd w:fill="CCEEFF" w:val="clear"/>
            <w:vAlign w:val="center"/>
          </w:tcPr>
          <w:p>
            <w:pPr>
              <w:pStyle w:val="TableContents"/>
              <w:bidi w:val="0"/>
              <w:spacing w:before="0" w:after="283"/>
              <w:jc w:val="left"/>
              <w:rPr/>
            </w:pPr>
            <w:r>
              <w:rPr/>
              <w:t>Total Xanadu Shares issuable to Old Xanadu (Dilutive)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47,395,576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jc w:val="center"/>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8" w:name="a_017"/>
      <w:bookmarkEnd w:id="18"/>
      <w:r>
        <w:rPr>
          <w:rFonts w:ascii="Times New Roman;Times;Serif" w:hAnsi="Times New Roman;Times;Serif"/>
          <w:b/>
          <w:i w:val="false"/>
          <w:caps/>
          <w:sz w:val="20"/>
        </w:rPr>
        <w:t>Dividend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cash dividends on our share capital. We intend to retain our future earnings, if any, to finance the further development and expansion of our business and do not intend to pay cash dividends or make distributions in the foreseeable future. Any future determination to pay dividends or make distributions will be made at the discretion of the Board, subject to applicable laws. It will depend on a number of factors, including our financial condition, results of operations, capital requirements, contractual, legal, tax and regulatory restrictions, general business conditions and other factors that the Board may deem relevant.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jc w:val="center"/>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9" w:name="a_018"/>
      <w:bookmarkEnd w:id="19"/>
      <w:r>
        <w:rPr>
          <w:rFonts w:ascii="Times New Roman;Times;Serif" w:hAnsi="Times New Roman;Times;Serif"/>
          <w:b/>
          <w:i w:val="false"/>
          <w:caps/>
          <w:sz w:val="20"/>
        </w:rPr>
        <w:t>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Quantum Computing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is a summary of certain key quantum computing terms used in this prospectus.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Advanced Packaging Technology” is our proprietary low-loss optical packaging and fiber-coupling innovations used in photonic integrated circuits.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ASIC (Application-Specific Integrated Circuit)” means custom semiconductor hardware designed for dedicated processing tasks such as real-time quantum decoding.</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Aurora” is our networked, modular, and scalable photonic quantum computer demonstrating real-time error detection and photonic rack interconnection.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Bell Pair” is a maximally entangled two-qubit quantum state used as a foundational resource in photonic cluster-state generation.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Borealis” is our 216-qubit photonic quantum computer that demonstrated quantum computational advantage in 2022.</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Catalyst” is our fault-tolerant quantum compiler and Just-In-Time compilation framework that translates high-level programs into hardware-executable instructions.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Cluster State” means a highly entangled multi-qubit quantum state used as the computational resource in measurement-based quantum computing.</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Cluster-State Lattice” is the large-scale entangled photonic resource state used in our MBQC computational model.</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Coherence” means the property describing how long a quantum system maintains its quantum state without decoherence.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Compiler Stack” means the integrated software pipeline converting high-level programs into low-level hardware instructions.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Cryogenic Cooling” refers to extremely low-temperature cooling systems required by certain quantum computing modalities.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Decoder” is classical hardware or software used to process quantum measurement outcomes and perform quantum error correction.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Discrete-Variable MBQC Layer” is a software compilation layer that maps logical operations into a discrete-variable representation prior to physical GKP implementation.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Distributed Quantum Computing” is architecture enabling multiple interconnected quantum processors to function as a unified system.</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Entanglement” means quantum mechanical correlation between particles such that the state of one depends on the other.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5"/>
        <w:gridCol w:w="9991"/>
      </w:tblGrid>
      <w:tr>
        <w:trPr/>
        <w:tc>
          <w:tcPr>
            <w:tcW w:w="3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w:t>
            </w:r>
          </w:p>
        </w:tc>
        <w:tc>
          <w:tcPr>
            <w:tcW w:w="9991" w:type="dxa"/>
            <w:tcBorders/>
            <w:vAlign w:val="center"/>
          </w:tcPr>
          <w:p>
            <w:pPr>
              <w:pStyle w:val="TableContents"/>
              <w:bidi w:val="0"/>
              <w:spacing w:before="0" w:after="283"/>
              <w:jc w:val="both"/>
              <w:rPr/>
            </w:pPr>
            <w:r>
              <w:rPr/>
              <w:t>“</w:t>
            </w:r>
            <w:r>
              <w:rPr/>
              <w:t>EUV Lithography” is extreme ultraviolet lithography; a nanoscale semiconductor fabrication process.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5"/>
        <w:gridCol w:w="9991"/>
      </w:tblGrid>
      <w:tr>
        <w:trPr/>
        <w:tc>
          <w:tcPr>
            <w:tcW w:w="3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w:t>
            </w:r>
          </w:p>
        </w:tc>
        <w:tc>
          <w:tcPr>
            <w:tcW w:w="9991" w:type="dxa"/>
            <w:tcBorders/>
            <w:vAlign w:val="center"/>
          </w:tcPr>
          <w:p>
            <w:pPr>
              <w:pStyle w:val="TableContents"/>
              <w:bidi w:val="0"/>
              <w:spacing w:before="0" w:after="283"/>
              <w:jc w:val="both"/>
              <w:rPr/>
            </w:pPr>
            <w:r>
              <w:rPr/>
              <w:t>“</w:t>
            </w:r>
            <w:r>
              <w:rPr/>
              <w:t>Feedforward” means real-time adjustment of quantum operations based on prior measurement results.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jc w:val="center"/>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FPGA (Field-Programmable Gate Array)” is reconfigurable semiconductor hardware used for low-latency classical control and decoding.</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Full-Stack Quantum Computing Model” is a business strategy integrating hardware, software, algorithm development, and compute access within a single vertically integrated framework.</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Gaussian Boson Sampling (GBS)” is a photonic quantum protocol used for generating non-classical states and performing specialized computational tasks.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Gaussian State” is a quantum optical state described by Gaussian statistics in phase space, typically generated via squeezing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Gottesman — Kitaev — Preskill (GKP) Qubits” are continuous-variable quantum encoding storing information in optical quadratures with intrinsic error resilience.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GKP Magic State” is an ancillary non-Clifford photonic state required to enable universal quantum computation within the MBQC framework.</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High-Connectivity Architecture” is a photonic architecture enabling strong interconnections between logical qubits for efficient error correction and algorithm execution.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Homodyne Detection” is an optical measurement technique used to measure the quadratures of light fields.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Hybrid Quantum — Classical” refers to a computational workflow combining quantum hardware with classical processing.</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Integrated Photonics Platform” is our heterogeneous semiconductor stack combining Silicon Nitride (SiN), Thin-Film Lithium Niobate (TFLN), and III-V materials.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6"/>
        <w:gridCol w:w="9978"/>
      </w:tblGrid>
      <w:tr>
        <w:trPr/>
        <w:tc>
          <w:tcPr>
            <w:tcW w:w="4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w:t>
            </w:r>
          </w:p>
        </w:tc>
        <w:tc>
          <w:tcPr>
            <w:tcW w:w="9978" w:type="dxa"/>
            <w:tcBorders/>
            <w:vAlign w:val="center"/>
          </w:tcPr>
          <w:p>
            <w:pPr>
              <w:pStyle w:val="TableContents"/>
              <w:bidi w:val="0"/>
              <w:spacing w:before="0" w:after="283"/>
              <w:jc w:val="both"/>
              <w:rPr/>
            </w:pPr>
            <w:r>
              <w:rPr/>
              <w:t>“</w:t>
            </w:r>
            <w:r>
              <w:rPr/>
              <w:t>Interconnect” is an optical fiber or chip-based connection linking quantum subsystems or racks.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Joint Development Agreement (JDA)” is a contractual framework for co-developing quantum algorithms and intellectual property with strategic partners.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Logical Qubit” is an error-corrected qubit encoded across multiple physical qubits to increase computational stability.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Low-Density Parity-Check (qLDPC) Code” is a quantum error-correction code designed to reduce the overhead required for fault tolerance.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Macronization/Stitching” is the process of assembling and extending a photonic cluster-state lattice across modules using linear optics and feedforward.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Measurement-Based Quantum Computing (MBQC)” is a quantum computational model in which operations are executed via measurements on a pre-entangled cluster state.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Modular Rack Architecture” is a standardized data-center deployable subsystem housing quantum photonic components interconnected via optical fiber.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Multiplexing” is a technique used to combine or route multiple optical signals to improve scalability and success probability.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Networked Architecture” is a system design enabling multiple quantum processors to be interconnected through optical fiber.</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jc w:val="center"/>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91"/>
        <w:gridCol w:w="9972"/>
      </w:tblGrid>
      <w:tr>
        <w:trPr/>
        <w:tc>
          <w:tcPr>
            <w:tcW w:w="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w:t>
            </w:r>
          </w:p>
        </w:tc>
        <w:tc>
          <w:tcPr>
            <w:tcW w:w="9972" w:type="dxa"/>
            <w:tcBorders/>
            <w:vAlign w:val="center"/>
          </w:tcPr>
          <w:p>
            <w:pPr>
              <w:pStyle w:val="TableContents"/>
              <w:bidi w:val="0"/>
              <w:spacing w:before="0" w:after="283"/>
              <w:jc w:val="both"/>
              <w:rPr/>
            </w:pPr>
            <w:r>
              <w:rPr/>
              <w:t>“</w:t>
            </w:r>
            <w:r>
              <w:rPr/>
              <w:t>Neutral Atom” is a quantum computing modality using laser-trapped neutral atoms as qubits.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NISQ (Noisy Intermediate-Scale Quantum)” refers to early-stage quantum systems lacking full fault tolerance.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Pauli Product Measurement (PPM)” is a measurement of products of Pauli operators used in fault-tolerant quantum protocols.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PennyLane” is our open-source quantum programming software development kit enabling hybrid quantum — classical algorithm development across hardware platforms.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Photonic Integrated Circuit (PIC)” is a semiconductor chip integrating optical components for light-based computation.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Photon-Number-Resolving (PNR) Detector” is a detector capable of distinguishing the number of photons present in a given optical mode.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3"/>
        <w:gridCol w:w="9982"/>
      </w:tblGrid>
      <w:tr>
        <w:trPr/>
        <w:tc>
          <w:tcPr>
            <w:tcW w:w="4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both"/>
              <w:rPr/>
            </w:pPr>
            <w:r>
              <w:rPr/>
              <w:t>“</w:t>
            </w:r>
            <w:r>
              <w:rPr/>
              <w:t>Physical Qubit” is the underlying hardware qubit subject to physical noise and operational errors.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Quantum Advantage” is a demonstrable performance improvement of a quantum system over classical systems for a specific practical task.</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Quantum Benchmarking Initiative (QBI)” is a DARPA-led program assessing and validating quantum computing system performance against standardized metrics.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Quantum Data Center” is a large-scale deployment of photonic quantum processors integrated with classical infrastructure in a commercial facility.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Quantum Error Correction (QEC)” refers to techniques used to detect and correct errors during quantum computation.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Quantum Fluid Dynamics (QFD)” is an application of quantum algorithms to fluid-dynamics modeling problems for aerospace and industrial systems.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Quantum Supremacy” is a milestone where a quantum computer performs a task infeasible for classical supercomputers.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Refinery” is a photonic subsystem responsible for improving the squeezing quality and fidelity of heralded GKP states.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9"/>
        <w:gridCol w:w="9987"/>
      </w:tblGrid>
      <w:tr>
        <w:trPr/>
        <w:tc>
          <w:tcPr>
            <w:tcW w:w="3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w:t>
            </w:r>
          </w:p>
        </w:tc>
        <w:tc>
          <w:tcPr>
            <w:tcW w:w="9987" w:type="dxa"/>
            <w:tcBorders/>
            <w:vAlign w:val="center"/>
          </w:tcPr>
          <w:p>
            <w:pPr>
              <w:pStyle w:val="TableContents"/>
              <w:bidi w:val="0"/>
              <w:spacing w:before="0" w:after="283"/>
              <w:jc w:val="both"/>
              <w:rPr/>
            </w:pPr>
            <w:r>
              <w:rPr/>
              <w:t>“</w:t>
            </w:r>
            <w:r>
              <w:rPr/>
              <w:t>Silicon Nitride (SiN)” is a semiconductor material platform used for low-loss photonic waveguides.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Stabilized Fiber Delay Line (SFDL)” is an optical component preserving phase stability and enabling temporal buffering for feedforward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Stitcher/Interconnect Layer” is a hardware subsystem responsible for assembling cluster states and routing quantum information across modules or racks.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Superconducting Nanowire Single-Photon Detector (SNSPD)” is a cryogenic photon detector used in photonic state heralding applications.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Superconducting Qubit” is a quantum computing modality using superconducting circuits cooled to millikelvin temperatures.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jc w:val="center"/>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Thin-Film Lithium Niobate (TFLN)” is an electro-optic photonic material used for high-speed modulation and adaptive control.</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1"/>
        <w:gridCol w:w="9984"/>
      </w:tblGrid>
      <w:tr>
        <w:trPr/>
        <w:tc>
          <w:tcPr>
            <w:tcW w:w="4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w:t>
            </w:r>
          </w:p>
        </w:tc>
        <w:tc>
          <w:tcPr>
            <w:tcW w:w="9984" w:type="dxa"/>
            <w:tcBorders/>
            <w:vAlign w:val="center"/>
          </w:tcPr>
          <w:p>
            <w:pPr>
              <w:pStyle w:val="TableContents"/>
              <w:bidi w:val="0"/>
              <w:spacing w:before="0" w:after="283"/>
              <w:jc w:val="both"/>
              <w:rPr/>
            </w:pPr>
            <w:r>
              <w:rPr/>
              <w:t>“</w:t>
            </w:r>
            <w:r>
              <w:rPr/>
              <w:t>Trapped Ion” is a quantum computing modality using electromagnetically confined ions as qubits.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Utility-Scale Quantum Computing (USQC)” refers to fault-tolerant quantum computing systems with hundreds to thousands of logical qubits capable of commercial relevance.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Wafer-Scale Fabrication” is a semiconductor manufacturing approach producing devices across an entire wafer to enable scalable production.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leading quantum computing company developing full-stack quantum computing solutions for enterprise and government customers around the world.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is to build quantum computers that are useful and available to people everywhere. To achieve this, we are pursuing a full-stack strategy that integrates proprietary photonic quantum hardware with a modality-agnostic software platform. Our hardware platform, demonstrated through the Borealis and Aurora quantum computers, is designed to scale from today’s networked, modular systems toward large-scale fault-tolerant machines with hundreds of thousands of physical qubits and hundreds to thousands of logical qubits. At the same time, our software stack, anchored by PennyLane, has become one of the world’s most widely used quantum application development frameworks, enabling researchers, developers, and enterprises to program quantum circuits across all major modalities and cloud platforms.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quantum computing hardware is designed to solve problems that are intractable for classical computing. We are pioneering an approach to developing a scaled quantum computer that leverages light as the medium for computation, commonly referred to as the photonics modality. We believe that the photonics modality, and the use of individual particles of light, or photons, offers the most practical and scalable path to building universal, fault-tolerant quantum computers and, in particular, addresses the coherence problems impacting the scalability of competing matter-based modalities, such as superconducting, trapped ion, neutral atom, and other approaches.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quantum software includes our branded PennyLane software offering, which is our open-source Quantum Programming Software Development Kit (“SDK”), whereby commercial and government users can program, write and store quantum computing applications and algorithms for commercial, research, and training purposes. PennyLane is accessible via the web and integrates across modalities and with other quantum computing hardware players.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the first pure-play company to achieve quantum supremacy when in 2022 our 216-qubit Borealis system performed a computation on the cloud in two minutes that would have taken a world top 5 classical supercomputer, Fugaku, approximately seven million years. In 2025, our Aurora system became the world’s first networked, modular, and scalable photonic quantum computer, demonstrating real-time error detection and the interconnection of multiple photonic racks through optical fiber. We believe these milestones validate our technological leadership and mark critical steps toward commercially viable fault tolerant quantum computing.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vision is to accelerate the world’s transition from classical to quantum computing by deploying photonic quantum systems in data centers, enterprises, and research institutions worldwide, with the goal of enabling breakthroughs in sustainability, medicine, materials, and artificial intelligence.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Quantum Computing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advances in semiconductor manufacturing and transistor scaling drove exponential growth in computing power and efficiency, classical computers now face fundamental physical limits in miniaturization, heat dissipation, and energy consumption. As a result, many of the world’s most important industrial and scientific problems, such as molecular simulation, new-materials discovery, and large-scale optimization, remain intractable for even the most powerful supercomputers.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quantum computing represents the next major technological revolution that can result in exponential improvements in computational power by leveraging the fundamental principles of quantum mechanics. Unlike classical bits, which represent information as 0 or 1, quantum bits (“qubits”) can exist in both states simultaneously, allowing quantum computers to explore a vastly larger computational space. This capability creates opportunities for solving problems that would take classical supercomputers millions of years. Importantly, the real economic potential of quantum computing lies not in today’s Noisy Intermediate-Scale Quantum (“NISQ”) systems, which remain largely ineffective, but in the emergence of utility-scale, fault-tolerant quantum computers capable of executing long, error-corrected computations with hundreds to thousands of logical qubits. We believe that these systems will mark the point at which quantum computing transitions from scientific curiosity to general-purpose technology.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photonic quantum computing, in particular, offers unique advantages in scalability, manufacturability, energy efficiency, and networkability. We view our technology as central not only to quantum computing but also to the broader quantum internet, sensing, and communications ecosystems, providing further adjacent potential monetization and market opportunities in addition to the core quantum computing hardware and software business solutions we are pursuing today.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Strategy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is to maintain leadership in photonic quantum computing through the simultaneous development of scalable hardware, modality-agnostic software, and strategic industry and government partnerships. We believe this integrated approach, spanning research, product development, and commercialization, positions us to capture value across the full quantum technology stack.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execute on our mission by pursuing the following key strategies: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Continued Leadership in Photonics Technologies.</w:t>
            </w:r>
            <w:r>
              <w:rPr/>
              <w:t xml:space="preserve"> We are pioneering a room-temperature computation, modular, and networked photonic quantum architecture designed for scalability, manufacturability, and energy efficiency. Our technology uses photons, the fastest and most stable carriers of information currently available, to compute, communicate, and network quantum systems. By eliminating the need for cryogenic and laser cooling and enabling direct fiber-optic interconnects between quantum processors, we believe our photonic approach offers the most feasible and commercially scalable path to large, fault-tolerant quantum computers. Our Aurora system, launched in 2025, demonstrated the first known integration of the subsystems required for universal quantum computing using photonics, validating this architecture and providing a foundation for continued scaling.</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Rapidly Achieve Fault-Tolerant Utility-Scale Quantum Computing.</w:t>
            </w:r>
            <w:r>
              <w:rPr/>
              <w:t xml:space="preserve"> We are advancing along a defined roadmap toward full fault-tolerant quantum operation. Building on the success of our </w:t>
            </w:r>
            <w:r>
              <w:rPr>
                <w:i/>
              </w:rPr>
              <w:t>Borealis</w:t>
            </w:r>
            <w:r>
              <w:rPr/>
              <w:t xml:space="preserve"> and Aurora systems, our next-generation architecture is designed with a target to scale up to 100,000 physical qubits and up to 500 logical qubits in 2029-2030, potentially enabling us to be the “first mover” in delivering and deploying commercially valuable quantum computing capabilities to enterprise and government customers at scale. Achieving this milestone could enable quantum advantage in commercially meaningful use cases across chemistry, materials science, optimization, and artificial intelligence.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approach combines high-connectivity photonic architectures with GKP photonic qubits and real-time quantum low-density parity-check (“qLDPC”) error correction, allowing for distributed networking between quantum processing modules while maintaining high-fidelity quantum gates. We believe this combination provides a 10-to-100-fold reduction in error-correction overhead compared to competing modalities such as superconducting circuits, trapped ions, or neutral atoms.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leveraging the stability, speed, and manufacturability of photonic qubits, and integrating real-time error-correction codes directly into our hardware and compiler stack, we believe we are positioned to deliver one of the first practical, fault-tolerant quantum computers capable of addressing real-world industrial challenges.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Continued Leadership in the Quantum Software Ecosystem with PennyLane.</w:t>
            </w:r>
            <w:r>
              <w:rPr/>
              <w:t xml:space="preserve"> Our open-source software platform, PennyLane, is one of the world’s leading environments for quantum application development. PennyLane enables seamless integration of quantum and classical computing frameworks and, as a hardware-agnostic ecosystem, is able to serve as a front-end operating system for quantum hardware worldwide.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fostered broad academic and industrial adoption of PennyLane across more than 120 universities and numerous enterprise partners. PennyLane is now widely taught in post-secondary curricula and used by researchers and developers working on all major quantum modalities, including those of our competitors.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widespread adoption positions us to capture long-term value through the development of an enterprise version of PennyLane and complementary quantum-classical workflow tools. As users mature from research to commercialization, we expect that their applications, algorithms, and workloads will naturally migrate toward our photonic hardware, where performance, scalability, and fidelity are highest. In this way, we believe that PennyLane will act as both an industry platform and a strategic channel, driving users, developers, and enterprise applications back to our quantum computing systems and cloud platform.</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Vertical Integration.</w:t>
            </w:r>
            <w:r>
              <w:rPr/>
              <w:t xml:space="preserve"> We are the only pure-play quantum computing company that develops and controls the complete technology stack, from photonic quantum hardware to the leading open-source software ecosystem and proprietary algorithms. This vertically integrated approach enables tight alignment between hardware innovation, software development, and application performance, ensuring that improvements at one layer immediately translate into measurable gains across the system. By uniting hardware design, software compilation, and domain-specific algorithm development within a single organization, we believe we can accelerate time-to-market, reduce dependency on third parties, and create durable competitive advantages that have yet to be replicated elsewhere in the industry.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Model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in a single operating and reportable segment and manages segment performance and resource allocation based upon consolidated net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Monetize Through a Full-Stack Quantum Computing Model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model is designed to capture value across the entire quantum technology stack, spanning hardware, software, and application development. We intend to generate revenue through multiple, complementary channels that reflect the breadth of our full-stack approach. We are in a pre-commercial stage and, to date, we have not achieved sustained commercial revenue from the sale or deployment of utility-scale quantum computers. Our PennyLane software platform is primarily distributed as an open-source offering and is widely used for research, education, and early-stage application development. While we currently derive limited revenue from services, sponsored research, and early-stage commercial engagements associated with PennyLane and related software tooling, such revenues are not yet material and we do not currently generate recurring subscription revenue from PennyLane. We expect any material software or hardware revenues to be contingent on the successful commercialization and broader adoption of fault-tolerant quantum computing systems in the future.</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Revenue Sharing and Co-Development of Intellectual Property:</w:t>
            </w:r>
            <w:r>
              <w:rPr/>
              <w:t xml:space="preserve"> We collaborate with strategic partners to design, test, and validate quantum algorithms on our photonic quantum computers. These collaborations generate valuable intellectual property, for which we expect to participate in revenue sharing and downstream commercialization rights as quantum computing matures.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Quantum Compute Access:</w:t>
            </w:r>
            <w:r>
              <w:rPr/>
              <w:t xml:space="preserve"> We plan to offer on-demand and subscription-based access to our photonic quantum computers through major cloud platforms and direct enterprise integrations. This Quantum-Computing-as-a-Service (“QCaaS”) model provides scalable, secure access for customers seeking to explore or deploy quantum solutions without the complexity of on-premise systems.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jc w:val="center"/>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Dedicated System Sales for Secure or Sovereign Deployments:</w:t>
            </w:r>
            <w:r>
              <w:rPr/>
              <w:t xml:space="preserve"> For customers with mission-critical, sensitive, or regulated workloads, including national governments, defense agencies, and enterprises with strict data-sovereignty requirements, we intend to sell and deploy dedicated photonic quantum computers directly into government or enterprise data centers. We expect to deliver these systems with ongoing maintenance, upgrade, and support services to help ensure long-term performance and security.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PennyLane Commercialization:</w:t>
            </w:r>
            <w:r>
              <w:rPr/>
              <w:t xml:space="preserve"> Building on PennyLane’s status as a leading true full-stack offering and open-source model that provides exposure to all quantum modalities, we are developing a subscription-based enterprise version of the platform and accompanying developer tools. By combining open-source community leadership with commercial enterprise tools, we believe we can convert our broad user base into a high-margin, recurring revenue stream, complementary to our hardware, algorithm-development, and quantum-compute-access platforms. As a result, we believe PennyLane is positioned to be both the global standard for quantum programming and the commercial foundation for utility-scale quantum computing adoption.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Application Development and Joint Ventures:</w:t>
            </w:r>
            <w:r>
              <w:rPr/>
              <w:t xml:space="preserve"> We are co-developing proprietary quantum algorithms and applications with industrial partners across the automotive, aerospace, energy, materials, and semiconductor sectors. These projects are designed to validate early commercial use cases and generate intellectual property aligned with our hardware roadmap.</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Intellectual Property Licensing:</w:t>
            </w:r>
            <w:r>
              <w:rPr/>
              <w:t xml:space="preserve"> We intend to continue leveraging our innovations in integrated photonics, quantum-classical interfaces, and optical packaging for adjacent markets in classical datacom, sensing, and telecommunications. We currently supply a major defense contractor with our photonic integrated circuits (“PICs”) to support a U.S. government quantum-sensing program, marking one of the first real-world deployments of our photonic technology outside quantum computing. In parallel, our low-loss photonic packaging technology is exploring pilot projects with external partners, validating our performance advantages in classical communication environments. Additional licensing and royalty opportunities represent a significant near-term revenue opportunity that leverages our core competencies without diverting focus from our primary mission of building a utility-scale, fault-tolerant quantum computer.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Adjacent Market Monetization Opportunities:</w:t>
            </w:r>
            <w:r>
              <w:rPr/>
              <w:t xml:space="preserve"> In addition to our core full-stack quantum computing capabilities, our underlying photonics technology and resulting intellectual property portfolio has value for non-computing use cases, including the quantum internet, quantum communications, quantum sensing, and other adjacent end market and quantum technology use case opportunities. While our core strategic focus today remains building the world’s first fault-tolerant photonic quantum computer, we intend to pursue these adjacent market opportunities in the future to fully capitalize on the multiple uses and market demand for our photonics-based technology capabilities.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Engage with Governments to Build Sovereign Quantum Compute Capacity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actively partnering with federal governments in Canada and the United States to establish sovereign quantum computing and advanced manufacturing capabilities. We are collaborating on national strategies focused on securing domestic access to high-performance quantum infrastructure, developing local supply chains for photonic components, and cultivating a skilled quantum workforce.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initiatives align with the growing global emphasis on technological sovereignty and national security in advanced computing. Through these partnerships, we aim to ensure that the economic, scientific, and security benefits of quantum computing remain within trusted jurisdictions, while accelerating commercialization, industrial adoption, and workforce development at scale.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Foster Strategic Partnerships to Accelerate Adoption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collaborate with a global network of partners, including Fortune 500 enterprises, government agencies, and research institutions, to accelerate quantum readiness and application development. Current collaborations include leading organizations such as Volkswagen, Toyota, Mitsubishi Chemical, Rolls-Royce, Raytheon Technologies, Corning, as well as national laboratories in Canada, the United States, and Europe. These partnerships are designed to co-develop quantum algorithms, validate commercial use cases, and ensure that our technology is aligned with real-world demand.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this multi-pronged strategy, combining photonic hardware leadership, dominant software adoption, sovereign compute partnerships, and global industry collaborations, we aim to deliver practical, fault-tolerant quantum computing and to establish ourselves as a global leader in the quantum technology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 Utility-Scale Quantum Computing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at an Inflection Point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generation of commercially relevant quantum applications, simulation, optimization, and machine learning, represent only the “low-hanging fruit” of a much broader technological revolution. Current use cases correspond to the earliest, most obvious problems addressable by a new computational paradigm, and many future quantum applications have not yet been discovered. Analysts and industry leaders anticipate that as utility-scale quantum computers become accessible, they will unlock problem classes and industries not currently imaginable, giving rise to an entirely new wave of scientific and economic growth.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NISQ devices have advanced algorithmic research and workforce development, their computational limits constrain commercial value. Consensus across major analyst houses, including IDC, S&amp;P 451 Research and Capgemini Research Institute, is that broader market opportunity will begin with the arrival of utility-scale, fault-tolerant systems. In the near term, IDC estimates that the aggregate customer spend portion will grow at a five-year CAGR (2023 – 2028) of 41.0% and reach approximately $8.9 billion by the end of 2028. This $8.9 billion estimate includes all revenue generated from quantum computing hardware, software, and cloud-based computing offerings. The Quantum Insider projects that this technology could generate approximately $877 billion in cumulative economic impact by 2035.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Across these forecasts, NISQ systems are viewed as transitional; sustained commercial returns are expected only from large-scale, error-corrected quantum architectures capable of outperforming classical high-performance computers on real industrial workloads.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 Opportunity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early commercial engagements reflect the breadth of the market opportunity we are pursuing. To date, our revenues have been derived primarily from professional services engagements, including applications development, proof-of-concept partnerships, sponsored research, and quantum education programs, as well as from compute access services provided through our QCaaS platform, with additional limited revenue from licensing and other activities. We view these engagements as early validation of commercial demand across a range of high-value industry verticals. As utility-scale, fault-tolerant quantum computing systems become commercially available, we expect the addressable market opportunity to expand significantly, with our PennyLane platform maturing into an enterprise subscription offering and our hardware systems enabling quantum advantage across the sectors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Chemicals &amp; Advanced Materials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Simulation of quantum-mechanical interactions, such as catalysts, interfaces, and high-performance alloys, remains a bottleneck for energy storage, green hydrogen, carbon capture, and next-generation materials. Utility-scale quantum systems are expected to enable accurate modeling of molecular and electronic structures that are intractable on classical machines, allowing rational design of new materials and chemicals.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the Chemicals &amp; Advanced Materials vertical, we have entered into commercial collaborations with Toyota Research Institute of North America (materials simulations and quantum sensing), Volkswagen Group (battery-materials quantum simulation), and the University of Toronto and Canada’s National Research Council.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Life Sciences &amp; Pharma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quantum-accurate modeling of molecular and biochemical systems holds promise to accelerate drug discovery, lead optimization, and target identification, while reducing attrition in R&amp;D pipelines. Fault-tolerant quantum computers can simulate complex molecular interactions, protein folding, and binding energies with unprecedented precision, enabling shorter development cycles and improved therapeutic efficacy.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Services &amp; Optimization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institutions rely heavily on stochastic simulation and large-scale optimization, areas where quantum algorithms can provide measurable efficiency gains. Potential use cases include portfolio construction, derivatives pricing, counterparty-risk estimation, insurance modeling, and supply-chain logistics.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gate-based fault-tolerant systems mature, these workflows could drive recurring enterprise demand through hybrid classical-quantum architectures delivered via QCaaS platforms.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the Financial Services&amp; Optimization vertical, we have entered into commercial collaborations with BMO Financial Group and Scotiabank to explore quantum-algorithm-based speed-ups in derivatives pricing, risk analysis, and market optimization, as well as with Multiverse Computing to advance quantum software applications in finance and optimization.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Energy, Utilities &amp; Industrial Optimization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Energy and industrial networks face increasingly complex scheduling, dispatch, and infrastructure-planning problems. Quantum optimization and simulation can improve the efficiency and resilience of grids, refineries, and logistics systems. Use cases include renewables integration, grid optimization, process design, and real-time industrial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the Energy, Utilities&amp; Industrial Optimization vertical, we have secured commercial collaborations with Volkswagen Group and the National Research Council of Canada to advance quantum simulation and optimization for next-generation battery materials and energy systems, as well as with the Korea Institute of Science and Technology to develop industrial quantum applications in clean energy and materials design.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Semiconductors, Electronics&amp; Photonics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device design and materials engineering become increasingly quantum-limited, involving defects, excitons, interfaces, and quantum-sensor behavior, quantum computing offers a direct path to accelerate R&amp;D. Simulating semiconductor and photonic structures at the quantum level can shorten development cycles for transistors, memories, sensors, lasers, and PICs.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collaborating with Mitsubishi Chemical to develop quantum algorithms that simulate the interaction of extreme-ultraviolet (“EUV”) light with photoresist materials used in advanced semiconductor lithography, aiming to improve the design and efficiency of next-generation chip fabrication processes.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of Other Quantum Systems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for a quantum computer to be economically relevant and capable of delivering measurable value to industry, it must meet the following core requirements: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Support a universal gate set and implement continuous quantum error correction, enabling the reliable execution of long, deep computational circuits.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At least hundreds and eventually thousands of logical qubits, corresponding to millions of physical qubits depending on the encoding scheme.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Sustain billions of gate operations per computation with error rates below fault-tolerance thresholds to preserve computational accuracy.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89"/>
        <w:gridCol w:w="9974"/>
      </w:tblGrid>
      <w:tr>
        <w:trPr/>
        <w:tc>
          <w:tcPr>
            <w:tcW w:w="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w:t>
            </w:r>
          </w:p>
        </w:tc>
        <w:tc>
          <w:tcPr>
            <w:tcW w:w="9974" w:type="dxa"/>
            <w:tcBorders/>
            <w:vAlign w:val="center"/>
          </w:tcPr>
          <w:p>
            <w:pPr>
              <w:pStyle w:val="TableContents"/>
              <w:bidi w:val="0"/>
              <w:spacing w:before="0" w:after="283"/>
              <w:jc w:val="both"/>
              <w:rPr/>
            </w:pPr>
            <w:r>
              <w:rPr/>
              <w:t>Operate at clock speeds at or exceeding MHz rates, allowing billions of operations per second.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Optically or electronically networked together, enabling distributed, fault-tolerant computation and effectively unlimited logical-qubit scaling through modular expansion.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Fabricated using reproducible, high yield processes suitable for industrial production and priced for deployment in data centers, enterprise environments, and sovereign compute facilities.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Operate within practical energy, space, and cooling budgets, supporting efficient deployment alongside classical infrastructure.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 all of these criteria simultaneously remains a complex engineering challenge. Many existing hardware modalities can satisfy one or two of these conditions. For instance, matter-based systems require cryogenic cooling, ultra-high-vacuum environments, and complex microwave or laser control infrastructure. As qubit counts increase, these engineering demands and power requirements grow exponentially, creating severe scaling and cost constraints that limit their manufacturability and practical deployment. Single-photon architectures also require cryogenic cooling of the entire optical setup and rely on non-deterministic operations, where many attempted gates fail to produce useful outcomes. As a result, large-scale computation becomes inefficient and technically complex.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Photonic Architecture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architecture is built on multi-photon photonic qubits, incorporating GKP encoding and qLDPC codes for advanced error correction. Each processor is designed to connect to others through optical fiber, forming a modular and distributed quantum network that scales seamlessly to thousands of logical qubits.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multi-photon approach offers several intrinsic advantages that address the fundamental requirements for utility-scale quantum computing: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photonic systems do not require cryogenic cooling for computation, dramatically reducing cost, size, and complexity.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Photons are the natural medium for data transmission, making photonic processors inherently modular and networkable through standard fiber-optic links.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Photonic gates can operate at MHz-to-gigahertz (“GHz”) rates, enabling the execution of billions of quantum gates per second, orders of magnitude faster than ion- or atom-based systems.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PICs can be fabricated using well-established semiconductor processes from the telecom and datacom industries, supporting wafer-scale, high-yield production.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Operating at ambient conditions with no cryogenics, photonic systems consume less power and can be deployed in standard data-center environments.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modular design, combined with room-temperature computation, high clock rates, and manufacturable photonic hardware, positions our platform as a credible and capital-efficient path toward utility-scale, fault-tolerant quantum computing.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USQC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photonic architecture has been developed to help achieve utility-scale, fault-tolerant quantum computing, systems capable of executing commercially valuable workloads with billions of gates, thousands of logical qubits, and modular networked scalability. Our technology stack integrates advanced photonic hardware, GKP quantum information encoding, and real-time quantum error correction within a fully modular architecture suitable for data-center deployment.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Core Qubit Modality: Photonic GKP Qubits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core of our architecture is the use of photons as quantum information carriers, with each qubit encoded in a GKP state. This encoding stores information in the continuous position and momentum quadratures of an optical mode, forming a periodic lattice in phase space that naturally protects against small displacement errors and photon loss. This lattice structure provides an intrinsic layer of error resilience, reducing reliance on active correction and improving logical qubit stability.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GKP qubits support deterministic Gaussian operations, all Clifford gates, such as Hadamard, Phase, CNOT, and Pauli measurements (X, Y, Z) can be implemented using only linear optics, phase shifts, and homodyne detection, without the need for nonlinear materials or cryogenics. Full universal quantum computation is achieved by consuming ancillary GKP “magic” states to implement non-Clifford gates through measurement-based protocols such as Pauli Product Rotations and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Computational Model: Measurement-Based Quantum Computing (“MBQC”)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systems use MBQC, an architecture in which computation is performed not through sequential gate operations but through a series of controlled measurements on a large, pre-entangled quantum resource known as a cluster state.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key advantage of MBQC is scalability through time-domain multiplexing: the cluster can be extended temporally rather than spatially, meaning that increasing computational depth does not increase optical path length or photon loss. This approach enables long, complex computations to be performed with less fidelity degradation.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combined with our modular photonic networking, the MBQC model provides a deterministic and inherently scalable framework for constructing data-center-scale quantum systems composed of many optically interconnected processing racks, laying the groundwork for large-scale, distributed, fault-tolerant quantum computing.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Functional Hardware Architecture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architecture is organized into three modular and networkable subsystems, each deployable in standardized data-center racks and interconnected via optical fiber and leveraging existing silicon-based supply chain capabilities.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Qubit Factories (GBS Source + PNR + Refinery).</w:t>
            </w:r>
            <w:r>
              <w:rPr/>
              <w:t xml:space="preserve"> The Qubit Factories serve as the photon-generation engines of our quantum computer, responsible for producing high-quality GKP Bell pairs and GKP magic states that form the computational resources of the system. Integrated Gaussian Boson Sampling (“GBS”) chips generate multi-mode Gaussian states using on-chip squeezers, while photon-number-resolving (“PNR”) detectors, such as transition-edge sensors (“TES”) or superconducting nanowire detectors (“SNSPDs”), herald successful non-Gaussian state creation. This brief detection step is the only part of the process that does not occur at room temperature. The resulting states are then refined through adaptive linear optics and homodyne detection, which “breed” and multiplex the heralded photons to boost their squeezing quality and overall success probability.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Stitcher/Interconnect Layer.</w:t>
            </w:r>
            <w:r>
              <w:rPr/>
              <w:t xml:space="preserve"> The Stitcher or Interconnect Layer is responsible for assembling the large-scale GKP cluster state and routing qubits between modules within our quantum architecture. It uses Stabilized Fiber Delay Lines (“SFDLs”) to preserve phase and polarization stability while also providing the buffering required for classical feed-forward operations. On-chip multiplexers (“MUX”) dynamically select the highest-quality states to be incorporated into the cluster lattice, improving consistent computational fidelity. Operating entirely at standard telecom wavelengths (~1550 nanometers), this layer takes advantage of mature optical-fiber technologies to enable low loss, modular interconnections between quantum processing racks, supporting scalable, distributed quantum computing.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Quantum Processing Unit (“QPU”) and Decoder.</w:t>
            </w:r>
            <w:r>
              <w:rPr/>
              <w:t xml:space="preserve"> The QPU forms the computational core of our system, executing the entanglement, measurement, and real-time error correction required for quantum computation. In the optical layer, QPU chips complete the final stitching of incoming GKP states into the target graph structure and perform quadrature measurements via homodyne detection. The classical layer, implemented on dedicated Field-Programmable Gate Array and Application-Specific Integrated Circuit hardware, performs low latency decoding to correct errors in real time and maintain logical qubit fidelity.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Scalable and Manufacturable Architecture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architecture is designed to be scalable, manufacturable, and ready for industrial deployment, and for wafer-scale fabrication and modular assembly using integrated photonic chips produced in existing semiconductor foundries. The system computes at room temperature and using telecom wavelengths, so it can be deployed directly in conventional data-center environments without the need for cryogenic cooling or vacuum systems. Recent breakthroughs we published in Nature have demonstrated every major subcomponent required for universal, fault-tolerant operation, as well as the ability to scale indefinitely through a modular, fiber-networked architecture.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engineering challenges are primarily in manufacturing optimization, specifically the continued reduction of photonic loss in semiconductor platforms to achieve higher device quality and yield, an area of active and ongoing progress through our fabrication partnerships.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Software Leadership for USQC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for achieving USQC is equally dependent on our advanced software ecosystem as it is on our photonic hardware. Our leadership in this domain is defined by our pioneering, full-stack hybrid quantum — classical software architecture, centered on two key components: PennyLane and Catalyst. Together, these platforms bridge the gap between high-level algorithm design and low-level photonic hardware execution, addressing the unique compilation, control-flow, and scalability challenges inherent to fault-tolerant, measurement-based systems.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PennyLane, our open-source Quantum Programming SDK, established the paradigm of Quantum Differentiable Programming, a method that integrates quantum computing directly into modern machine learning workflows. The platform enables seamless interoperability with classical libraries, such as PyTorch, TensorFlow, and JAX, allowing researchers and developers to construct hybrid quantum — classical models for applications in quantum chemistry, materials science, and optimization. Internally, PennyLane serves as the primary tool for our own research and algorithm design efforts, where teams develop resource-efficient, application-specific algorithms tailored to the constraints of future fault-tolerant hardware. Externally, PennyLane has become one of the most widely adopted quantum SDKs globally, used by developers across academic institutions, national labs, and industrial R&amp;D groups on all major hardware platforms, including ion trap, superconducting, and photonic systems. This broad adoption positions PennyLane as the de facto standard for quantum application development and reinforces our leadership across the quantum software ecosystem.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next level of the stack, Catalyst functions as our fault-tolerant quantum compiler, a Just-In-Time compilation framework that efficiently translates high-level quantum algorithms into hardware-specific machine instructions. Catalyst connects PennyLane’s high-level programming interface to the physical control layer of our photonic architecture. It performs hybrid compilation of both quantum and classical operations, unifying optimization loops, control logic, and measurement feedback into a single machine binary using Multi-Level Intermediate Representation and Low-Level Virtual Machine/Quantum Intermediate Representation technologies. This integration minimizes classical processing latency, an essential requirement for executing adaptive measurement-based computation at MHz clock rates. Catalyst also supports complex classical control flow, including conditional branching, loops, and feedforward logic, all of which are essential for MBQC and fault-tolerant error correction protocols. Through its multi-level intermediate representation, Catalyst provides a robust compilation pipeline that spans from high-level algorithms through the Quantum Error Correction layer and Discrete-Variable MBQC, down to the GKP MBQC layer where physical optical commands are executed.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software vision extends beyond programming and compilation; it defines the control intelligence that orchestrates large-scale photonic quantum systems. Our architecture is designed to manage the logical-to-physical mapping of thousands of operations, the scheduling of Pauli Product Measurements, and to determine the real-time homodyne measurement settings for each QPU.</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providing an open-source, high-performance, hybrid software stack, we aim to enable the global research community to accelerate the development of useful, resource-efficient quantum applications today, ensuring that when fault-tolerant systems become operational, a mature ecosystem of commercial algorithms and workflows will already exist. For us, software is not merely an interface layer; it is the intelligent control core that transforms photonic hardware into a practical, programmable, and scalable computational platform capable of delivering industrial-scale quantum utility.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Strategic Relationships and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 and Institutional Partnerships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collaborate with governments and research agencies to build sovereign quantum computing capacity and domestic advanced-manufacturing ecosystems that strengthen national competitiveness and technological resilience. These partnerships provide co-funding for research and development, enable early procurement of quantum systems, and ensure that the economic and security benefits of quantum technologies remain within trusted jurisdictions.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received substantial support from both the United States and Canadian governments and have participated in projects funded by programs and agencies across Europe and the Asia-Pacific region. These collaborations span early-stage hardware development, photonic integration, and national quantum-infrastructure initiatives.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governments around the world increasingly recognize the strategic importance of sovereign compute capacity, we anticipate that this level of support will continue to grow, becoming an important driver of our roadmap toward delivering a USQC. Through these partnerships, we help ensure that trusted nations maintain access to secure, high-performance quantum technology while fostering regional innovation and supply-chain self-sufficiency.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Commercial Partnerships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for achieving USQC is supported by a global network of strategic partnerships spanning hardware manufacturing, industrial applications, software ecosystems, and government collaborations. These relationships are designed to help de-risk our technological roadmap, accelerate commercialization, and validate the economic utility of quantum computing across multiple sectors.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hardware and manufacturing, we partner with leading semiconductor and photonics companies to address the scale, cost, and performance challenges associated with producing millions of high-quality quantum components. A key collaboration with Applied Materials focuses on co-developing the first 300 mm wafer-compatible process for superconducting transition edge sensors, a crucial step toward mass production of PNR detector channels required for utility-scale systems. With Corning, we are developing customized ultra-low-loss fiber interconnects to minimize optical losses in the modular, fiber-networked architecture demonstrated in our Aurora system. Collaborations with IMEC and SUNY target process development for next-generation Silicon Nitride (SiN) and Thin-Film Lithium Niobate (“TFLN”) photonic platforms, enabling smooth technology transfer from R&amp;D facilities to high-volume commercial foundries. HyperLight contributes expertise in TFLN component design to deliver ultra-fast, low-loss electro-optic switches essential for the Refinery and QPU subsystems. Together, these partnerships form the backbone of our scalable, cost-efficient manufacturing ecosystem, ensuring readiness for mass production.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applications front, we work with major industrial partners to co-develop algorithms that demonstrate near-term and long-term quantum advantage, directly linking technical milestones to commercial value. With Volkswagen Group, we are developing quantum simulation workflows for X-ray Absorption Spectroscopy to model next-generation battery materials and degradation pathways, a cornerstone use case in sustainable energy technology. The Toyota Research Institute of North America partnership focuses on quantum sensing and optical response simulations, enabling the identification of optically addressable spin defects in two-dimensional materials, paving the way for new classes of quantum sensors. In collaboration with Mitsubishi Chemical Group, we are advancing EUV lithography simulations to improve photoresist performance at the nanoscale, potentially unlocking major efficiencies in semiconductor fabrication. Meanwhile, with Rolls-Royce, we are developing quantum fluid dynamics algorithms to model complex aerodynamic systems such as jet engines, extending our software capability into high-value aerospace and engineering applications. These collaborations help validate our USQC platform across diverse, high-impact industries, ensuring early alignment between hardware capability and real-world computational demand.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software and ecosystem development, we maintain a leadership position through PennyLane and Catalyst, our open-source software stack that forms the industry standard for quantum programming and hybrid quantum — classical workflows. Our partnerships with major cloud providers such as Amazon Web Services help ensure PennyLane’s seamless integration into Braket, expanding access to the broadest range of quantum hardware and simulators while preserving hardware-agnostic interoperability. Collaborations with organizations like Quantinuum further our role in shaping quantum software standards, including shared compiler formats and runtime specifications for fault-tolerant quantum circuits. Additionally, our participation in programs with the U.S. Air Force Research Laboratory and the DARPA, specifically through the Quantum Benchmarking Initiative, provides critical external validation. These partnerships not only support technology maturation but also ensure our systems meet the stringent reliability and performance criteria expected of national and sovereign computing infrastructure.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this global ecosystem of partnerships, we are simultaneously advancing manufacturability, demonstrating commercial utility, and establishing the software and standards foundation for the next generation of fault-tolerant, photonic quantum computers.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Data Protection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our business, we process personal and other sensitive data. Accordingly, we are, or may in the future become, subject to numerous data privacy and security obligations, including federal, provincial, state, local, and foreign laws, regulations, guidance, and industry standards related to data privacy, security, and protection. Such obligations may include, without limitation, the Federal Trade Commission Act, the European Union’s General Data Protection Regulation 2016/679 (EU GDPR), the United Kingdom’s General Data Protection Regulation (UK GDPR), and Canada’s Personal Information Protection and Electronic Documents Act. Numerous states within the United States and provinces within Canada have also enacted data privacy laws, and such laws are being considered in additional jurisdictions. These and other laws to which we are, or may become, subject, such as various consumer protection laws, may require us to obtain consent for the collection, use, and disclosure of personal data (subject to limited exceptions), limit data collection to that which is necessary for identified purposes, ensure the accuracy and security of personal data, afford individuals with certain rights with respect to their personal data (e.g., right to access, correct, withdraw consent), and to publish statements that accurately and fairly describe how we handle personal data and choices individuals may have about the way we handle their personal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there will continue to be new or changing laws, regulations, and industry standards concerning privacy, data protection, and information security proposed and enacted in the jurisdictions in which we and our customers operate. Such new or revised laws could directly impact our current and planned practices or business activities. They may also impact the computing services and software industry platforms and data providers we utilize, and thereby indirectly impact our business. Laws affording individuals expanded privacy protections and control over their personal data may require us to modify our data processing practices and policies, and to incur substantial costs and expenses in an effort to comply.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section titled “Risk Factors — Risks Related to Our Business” for additional information about the data protection laws and regulations to which we are or may become subject and about the risks to our business associated with such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Environmental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numerous environmental laws and regulations in the jurisdictions in which we operate governing, among other things, solid and hazardous waste storage, treatment, transportation, and disposal, and remediation, response to and reporting of releases of hazardous materials. There are significant capital, operating and other costs associated with compliance with these environmental laws and regulations. Environmental laws and regulations may become more stringent in the future, which could increase costs of compliance, result in heightened regulatory enforcement, or require us to manufacture with alternative technologies and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materially dependent on our ability to obtain, maintain, and enforce intellectual property rights, including patents, trade secrets, and proprietary know-how, as well as on our ability to secure and maintain licenses to third-party intellectual property and to enter into and perform under key commercial and government contracts.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intellectual property strategy emphasizes protecting core inventions while enabling strategic collaboration. We rely on a combination of the intellectual property protections afforded by patent, copyright and trademark laws in Canada and the United States and other jurisdictions. We also maintain trade secrets and proprietary designs across hardware and firmware layers. Our intellectual property spans North America, Europe, and Asia, with active patents and/or patent applications across the United States, Canada, Europe, China, Japan, Australia, Singapore, Taiwan, and India. Our portfolio covers a broad spectrum of technologies, including photonic quantum computing architectures, GKP state generation, GBS, quantum simulation methods, and quantum machine learning algorithms.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seek to protect our intellectual property rights through commercial contracts, including non-disclosure and invention assignment agreements with our employees and consultants and through royalty and licensing agreements with business partners and other third parties. We have accumulated a broad patent portfolio, both owned and exclusively licensed, across a range of technological fronts that relate to our systems and will continue to protect our inventions in Canada, the United States and other countries.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our global patent portfolio consists of 74 patent families, with 37 patents granted and 103 pending patent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Dependence on Patents, Licenses, Industrial and Commercial Contracts, and Manufacturing Processes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party to co-development and collaboration agreements with a number of third parties, including universities, foundries, government laboratories, and private companies. Certain of these agreements impose financial and other obligations on us and may grant the counterparty rights in intellectual property developed under the collaboration. Our ability to commercialize our products may depend on our ability to negotiate and maintain favorable terms under these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materially dependent on contracts with government customers, including agencies of the Canadian federal government and the U.S. federal government, which have historically represented a significant portion of our revenues. These contracts are subject to termination for convenience, budgetary constraints, and other risks inherent in government contracting. See “Risk Factors — We rely on funding and financial contributions from contracts with the public sector, including the Canadian government and U.S. government.”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manufacturing processes for photonic integrated circuits and related components are dependent on specialized semiconductor foundry processes, certain of which are proprietary to our manufacturing partners. We do not currently own all of the intellectual property underlying these manufacturing processes, and our ability to scale production is contingent on maintaining access to these processes and on continued advances in photonic fabrication technology. See “Risk Factors — Risks Related to Our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not materially affected by seasonal factors. Demand for our quantum computing technology, software solutions, and professional services is driven primarily by research and development cycles, government funding programs, and enterprise procurement processes, none of which exhibit significant seasonal patterns. However, our quarterly revenues may fluctuate due to the timing of contract awards, milestone-based payments under government contracts, and the length of our sales cycles, particularly with respect to government and large enterprise customers. See “Risk Factors — Our quarterly revenues are hard to predict, and may not grow at the rates at which you expect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Sources and Availability of Raw Materials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quantum computing systems incorporate a range of specialized components and materials, including PICs, superconducting transition edge sensors, photon-number-resolving detectors, optical fiber, electro-optic switches, and other advanced photonic and electronic components. We source these components from a limited number of specialized suppliers and manufacturing partners, including semiconductor foundries and photonics companies. We do not currently have long-term supply agreements with all of our suppliers, and certain critical components are available from only a small number of qualified 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prices of certain raw materials and components used in our systems, including specialty optical materials, silicon nitride, thin-film lithium niobate, and superconducting materials, may be subject to volatility driven by global supply and demand dynamics, geopolitical events, industry consolidation, and macroeconomic conditions, including inflation. Disruptions in the global semiconductor and photonics supply chains, including those resulting from geopolitical tensions in and around Taiwan and other regions, could adversely affect the availability and cost of components critical to our development and manufacturing activities. We are actively working to diversify our supply base and establish strategic partnerships with key suppliers to mitigate these risks; however, there can be no assurance that we will be successful in doing so. See “Risk Factors — We may face supply chain issues that could delay the introduction of certain of our products and negatively impact our business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Capital Expenditures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fiscal years ended December 31, 2025, 2024 and 2023, our principal capital expenditures consisted of our R&amp;D roadmap, scaling our photonic integrated circuit fabrication processes, and building the modular quantum racks required for utility-scale systems, which amounted to $6.2 million, $4.8 million and $8.9 million in such fiscal years, respectively. In these fiscal years, our capital expenditures were primarily used to build out R&amp;D capabilities including various test, measure &amp; tooling setups, our advanced photonic packaging facility and investments in cryogenic equipment. To the extent the proceeds of the Business Combination and cash from our business activities are insufficient to fund future capital requirements, including potential future acquisitions, we may need to seek equity or debt financing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Plants and Equipment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lease or otherwise have entered into arrangements to use facilities in Canada and the United States. Our corporate headquarters are located in Toronto, Ontario, Canada, where we lease approximately 48,000 square feet of combined office and nanophotonic facility space under an agreement that expires on September 30, 2032. Most of the facility is used for corporate offices, research and development, and design. In addition to our corporate headquarters, we also maintain an additional packaging and assembly facility in Toronto and an office in the United States to collaborate with semiconductor manufacturing partners and government stakeholders. We believe these facilities are adequate to meet our current ongoing needs and anticipate we will be able to obtain additional space as needed under commercially reasonable terms. We are not aware of, and do not anticipate, environmental issues that may affect our utilization of the facilities described in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Old Xanadu had 281 employees, of which 277 were full-time employees, including 133 physicists and engineers working in quantum technology. We also engage a small number of consultants and contractors to supplement our permanent workforce. A majority of our employees are engaged in research and development and related functions, and hold advanced engineering and scientific degrees, including many from the world’s top universities.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experienced any work stoppages and maintain good working relationships with our employees. None of our employees are subject to a collective bargaining agreement or are represented by a labor union at this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align employee and shareholder interests, and increase the success of our company by motivating such individuals to perform to the best of their abilities and achieve our objectives.</w:t>
      </w:r>
    </w:p>
    <w:p>
      <w:pPr>
        <w:pStyle w:val="TextBody"/>
        <w:bidi w:val="0"/>
        <w:spacing w:before="0" w:after="0"/>
        <w:ind w:left="0" w:right="0" w:hanging="0"/>
        <w:jc w:val="left"/>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jc w:val="center"/>
        <w:rPr/>
      </w:pPr>
      <w:r>
        <w:rPr/>
        <w:t> </w:t>
      </w:r>
    </w:p>
    <w:p>
      <w:pPr>
        <w:pStyle w:val="TextBody"/>
        <w:bidi w:val="0"/>
        <w:spacing w:before="0" w:after="0"/>
        <w:jc w:val="left"/>
        <w:rPr>
          <w:caps/>
        </w:rPr>
      </w:pPr>
      <w:r>
        <w:rPr>
          <w:caps/>
        </w:rPr>
        <w:t> </w:t>
      </w:r>
    </w:p>
    <w:p>
      <w:pPr>
        <w:pStyle w:val="TextBody"/>
        <w:bidi w:val="0"/>
        <w:spacing w:before="0" w:after="0"/>
        <w:jc w:val="center"/>
        <w:rPr>
          <w:rFonts w:ascii="Times New Roman;Times;Serif" w:hAnsi="Times New Roman;Times;Serif"/>
          <w:b/>
          <w:i w:val="false"/>
          <w:caps/>
          <w:sz w:val="20"/>
        </w:rPr>
      </w:pPr>
      <w:bookmarkStart w:id="20" w:name="a_019"/>
      <w:bookmarkEnd w:id="20"/>
      <w:r>
        <w:rPr>
          <w:rFonts w:ascii="Times New Roman;Times;Serif" w:hAnsi="Times New Roman;Times;Serif"/>
          <w:b/>
          <w:i w:val="false"/>
          <w:caps/>
          <w:sz w:val="20"/>
        </w:rPr>
        <w:t>MANAGEMENT’S DISCUSSION AND ANALYSIS OF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indicates, as used in this “Management’s Discussion and Analysis of Financial Condition and Results of Operations” (“MD&amp;A”), the terms “we,” “us,” “our,” “Xanadu,” the “Company” and similar terms refer to Xanadu Quantum Technologies Limited and its consolidated subsidiaries. The following MD&amp;A provides information which Xanadu’s management believes is relevant to an assessment and understanding of our results of operations and financial condition. The MD&amp;A should be read together with our unaudited interim condensed consolidated financial statements and the related notes as of and for the three month periods ended March 31, 2026 and 2025 (the “Condensed Consolidated Financial Statements”) and the consolidated financial statements for Xanadu and for Old Xanadu, as applicable, and related notes for the years ended December 31, 2025, 2024 and 2023 (the “Annual Financial Statements”) included in our Annual Report on Form 20-F (the “Annual Report”) filed with the U.S. Securities and Exchange Commission (“SEC”) and the Canadian Securities Administrators (the “CSA”) on April 9, 2026. This discussion may contain forward-looking statements based upon current expectations that involve risks and uncertainties. Our actual results may differ materially from those anticipated in these forward-looking statements, including those set forth under the section titled “Cautionary Note Regarding Forward-Looking Statements” in this MD&amp;A as a result of various factors, including those set forth under “Risk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Xanadu’s Condensed Consolidated Financial Statements have been prepared in accordance with accounting principles generally accepted in the United States of America (“U.S. GAAP”) and the rules and regulations of the SEC for interim financial statements. All amounts are in U.S. dollars except as otherwise indicated. For more information about the basis of presentation of Xanadu’s financial statements, see Note 2 - Basis of Presentation within the Condensed Consolidated Financial Statements. This MD&amp;A is dated May 14, 2026 and was prepared with information available to this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is a quantum technology company specializing in the design and development of photonic-based quantum computing systems and the platforms that support them. Our current offerings primarily consist of applications development and proof of concept partnerships but also include quantum computers accessible via the cloud, quantum development software, quantum simulators, and a suite of supporting tools and applications. Xanadu is currently in a pre-commercial stage and does not yet offer quantum computers available for commercial sale beyond those in the early stages of development. Leveraging our photonic technology, we aim to deliver scalable, fault-tolerant and commercially useful quantum computing solutions that operate at room temperature, are manufacturable using existing silicon processes and are already proven to be modular, networkable and scalable.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model focuses on providing customers with access to our quantum computing systems through cloud-based services, enabling quantum-computing-as-a-service (“QCaaS”), as well as offering related professional services to help organizations explore and implement quantum solutions. In addition to cloud access, we develop and distribute software frameworks that facilitate quantum algorithm development and integration into existing workflows. We collaborate with leading global organizations to explore applications in areas such as battery simulation and quantum machine learning.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the Company had an accumulated deficit of $228.3 million and $206.3 million, respectively. For the three months ended March 31, 2026 and 2025, we incurred net losses of $20.6 million and $12.2 million, respectively. We expect to incur additional operating losses as we continue our research and development (“R&amp;D”) activities and expand our commercial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present, our customers are concentrated. One of our customers accounted for 72.0% of our revenue for the three months ended March 31, 2026. Four of our customers accounted for 75.0% of our revenue for the three months ended March 31, 2025. Our chief operating decision maker, our Chief Executive Officer, has determined that we operate in a single operating and reportable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3, 2025, Xanadu entered into a merger agreement (the “Agreement”) with Crane Harbor Acquisition Corp. (“SPAC”) and Xanadu Quantum Technologies Inc.(“Old Xanadu”). The merger (“Reverse Recapitalization”) closed on March 26, 2026 (the “Closing Date”). At Closing, Xanadu had three authorized classes of shares, multiple voting shares (“Class A Multiple Voting Shares”), subordinate voting shares (“Class B Subordinate Voting Shares”) and preferred shares (“Preferred Shares”) issuable in series, of which only Xanadu Class A Multiple Voting Shares and Xanadu Class B Subordinate Voting Shares were issued and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proceeds from the Reverse Recapitalization were $301.6 million, which includes $275.0 million of Private Investment in Public Equity (“PIPE”) financing and $26.6 million from SPAC. The Company incurred $52.2 million in total costs related to the Reverse Recapitalization and PIPE financing, of which $37.9 million were costs directly related to the issuance of shares, of which $1.3 million was allocated to the issuance of the earn out shares, and thus expensed to the consolidated statement operations and comprehensive loss, and the remaining $36.7 million was recorded against share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we announced negotiations for up to C$390 million from the governments of Canada and Ontario to launch Project OPTIMISM and establish advanced semiconductor and photonic manufacturing infrastructure supporting Canada’s quantum supply chain. We expect to receive those funds over time as qualifying investments and R&amp;D activities occur.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we also announced significant new partnerships with AMD, Lockheed Martin, TELUS, and Fidelity Center for Applied Technology, advancing commercialization across defense, finance, and telecommunications.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Financial and Non-GAAP Metrics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monitor revenue, cash and cash equivalents, net loss and Adjusted EBITDA as key financial metrics to evaluate our business, measure our performance, identify trends affecting our business, formulate business plans, and make strategic decisions. The following table summarizes our financial performance for the three months ended March 31, 2026 and 2025 for these key metrics. For a detailed discussion of our results of operations, including further commentary on our revenue and net loss, see the sections entitled “- </w:t>
      </w:r>
      <w:r>
        <w:rPr>
          <w:rFonts w:ascii="Times New Roman;Times;Serif" w:hAnsi="Times New Roman;Times;Serif"/>
          <w:b w:val="false"/>
          <w:i/>
          <w:caps w:val="false"/>
          <w:smallCaps w:val="false"/>
          <w:sz w:val="20"/>
        </w:rPr>
        <w:t>Components of Results of Operations</w:t>
      </w:r>
      <w:r>
        <w:rPr>
          <w:rFonts w:ascii="Times New Roman;Times;Serif" w:hAnsi="Times New Roman;Times;Serif"/>
          <w:b w:val="false"/>
          <w:i w:val="false"/>
          <w:caps w:val="false"/>
          <w:smallCaps w:val="false"/>
          <w:sz w:val="20"/>
        </w:rPr>
        <w:t xml:space="preserve">” and “- </w:t>
      </w:r>
      <w:r>
        <w:rPr>
          <w:rFonts w:ascii="Times New Roman;Times;Serif" w:hAnsi="Times New Roman;Times;Serif"/>
          <w:b w:val="false"/>
          <w:i/>
          <w:caps w:val="false"/>
          <w:smallCaps w:val="false"/>
          <w:sz w:val="20"/>
        </w:rPr>
        <w:t>Results of Operations” below.</w:t>
      </w:r>
    </w:p>
    <w:p>
      <w:pPr>
        <w:pStyle w:val="TextBody"/>
        <w:bidi w:val="0"/>
        <w:spacing w:before="0" w:after="0"/>
        <w:ind w:left="0" w:right="0" w:firstLine="360"/>
        <w:jc w:val="both"/>
        <w:rPr>
          <w:caps w:val="false"/>
          <w:smallCaps w:val="false"/>
        </w:rPr>
      </w:pPr>
      <w:r>
        <w:rPr>
          <w:caps w:val="false"/>
          <w:smallCaps w:val="false"/>
        </w:rPr>
        <w:t> </w:t>
      </w:r>
    </w:p>
    <w:tbl>
      <w:tblPr>
        <w:tblW w:w="4902" w:type="dxa"/>
        <w:jc w:val="left"/>
        <w:tblInd w:w="0" w:type="dxa"/>
        <w:tblLayout w:type="fixed"/>
        <w:tblCellMar>
          <w:top w:w="0" w:type="dxa"/>
          <w:left w:w="0" w:type="dxa"/>
          <w:bottom w:w="0" w:type="dxa"/>
          <w:right w:w="0" w:type="dxa"/>
        </w:tblCellMar>
      </w:tblPr>
      <w:tblGrid>
        <w:gridCol w:w="2525"/>
        <w:gridCol w:w="60"/>
        <w:gridCol w:w="155"/>
        <w:gridCol w:w="888"/>
        <w:gridCol w:w="105"/>
        <w:gridCol w:w="66"/>
        <w:gridCol w:w="155"/>
        <w:gridCol w:w="838"/>
        <w:gridCol w:w="110"/>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110" w:type="dxa"/>
            <w:tcBorders/>
            <w:vAlign w:val="center"/>
          </w:tcPr>
          <w:p>
            <w:pPr>
              <w:pStyle w:val="TableContents"/>
              <w:bidi w:val="0"/>
              <w:spacing w:before="0" w:after="283"/>
              <w:jc w:val="left"/>
              <w:rPr/>
            </w:pPr>
            <w:r>
              <w:rPr/>
              <w:t> </w:t>
            </w:r>
          </w:p>
        </w:tc>
      </w:tr>
      <w:tr>
        <w:trPr/>
        <w:tc>
          <w:tcPr>
            <w:tcW w:w="2525"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10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99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888" w:type="dxa"/>
            <w:tcBorders/>
            <w:shd w:fill="CCEEFF" w:val="clear"/>
            <w:vAlign w:val="center"/>
          </w:tcPr>
          <w:p>
            <w:pPr>
              <w:pStyle w:val="TableContents"/>
              <w:bidi w:val="0"/>
              <w:spacing w:before="0" w:after="283"/>
              <w:jc w:val="right"/>
              <w:rPr/>
            </w:pPr>
            <w:r>
              <w:rPr/>
              <w:t>2,832</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838" w:type="dxa"/>
            <w:tcBorders/>
            <w:shd w:fill="CCEEFF" w:val="clear"/>
            <w:vAlign w:val="center"/>
          </w:tcPr>
          <w:p>
            <w:pPr>
              <w:pStyle w:val="TableContents"/>
              <w:bidi w:val="0"/>
              <w:spacing w:before="0" w:after="283"/>
              <w:jc w:val="right"/>
              <w:rPr/>
            </w:pPr>
            <w:r>
              <w:rPr/>
              <w:t>699</w:t>
            </w:r>
          </w:p>
        </w:tc>
        <w:tc>
          <w:tcPr>
            <w:tcW w:w="11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272,465</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61,668</w:t>
            </w:r>
          </w:p>
        </w:tc>
        <w:tc>
          <w:tcPr>
            <w:tcW w:w="11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(20,604</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(12,205</w:t>
            </w:r>
          </w:p>
        </w:tc>
        <w:tc>
          <w:tcPr>
            <w:tcW w:w="110" w:type="dxa"/>
            <w:tcBorders/>
            <w:shd w:fill="CCEEFF" w:val="clear"/>
            <w:vAlign w:val="center"/>
          </w:tcPr>
          <w:p>
            <w:pPr>
              <w:pStyle w:val="TableContents"/>
              <w:bidi w:val="0"/>
              <w:spacing w:before="0" w:after="283"/>
              <w:jc w:val="left"/>
              <w:rPr/>
            </w:pPr>
            <w:r>
              <w:rPr/>
              <w:t>)</w:t>
            </w:r>
          </w:p>
        </w:tc>
      </w:tr>
      <w:tr>
        <w:trPr/>
        <w:tc>
          <w:tcPr>
            <w:tcW w:w="2525" w:type="dxa"/>
            <w:tcBorders/>
            <w:shd w:fill="FFFFFF" w:val="clear"/>
            <w:vAlign w:val="center"/>
          </w:tcPr>
          <w:p>
            <w:pPr>
              <w:pStyle w:val="TableContents"/>
              <w:bidi w:val="0"/>
              <w:spacing w:before="0" w:after="283"/>
              <w:jc w:val="left"/>
              <w:rPr/>
            </w:pPr>
            <w:r>
              <w:rPr/>
              <w:t>Adjusted EBITDA</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(13,882</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(10,643</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sz w:val="20"/>
              </w:rPr>
            </w:pPr>
            <w:r>
              <w:rPr>
                <w:sz w:val="20"/>
              </w:rPr>
              <w:t>(1)</w:t>
            </w:r>
          </w:p>
        </w:tc>
        <w:tc>
          <w:tcPr>
            <w:tcW w:w="9990" w:type="dxa"/>
            <w:tcBorders/>
            <w:vAlign w:val="center"/>
          </w:tcPr>
          <w:p>
            <w:pPr>
              <w:pStyle w:val="TableContents"/>
              <w:bidi w:val="0"/>
              <w:spacing w:before="0" w:after="283"/>
              <w:jc w:val="both"/>
              <w:rPr/>
            </w:pPr>
            <w:r>
              <w:rPr/>
              <w:t>Adjusted EBITDA is a non-GAAP financial measure and is not a standardized measure and might not be comparable to similar financial measures disclosed by other issuers. See “Net Loss and Non-GAAP Financial Measure Adjusted EBITDA” and “Results and Reconciliation of Non-GAAP Financial Measure Adjusted EBITDA” for more information.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in a pre-commercial stage and do not yet offer quantum computers available for commercial sale. Our primary activities are centered on the development of fault-tolerant, utility-scale photonic quantum computing systems. We consider our revenue as an indicator of technological viability on the path to commercial utility scale quantum computing. We are focused on our customer acquisition and retention efforts as we continue development of our full stack quantum computing offerings. While we are focused on revenue growth, we expect that in the near term, revenue will not be a reliable indicator of our performance, particularly from period-to-period, as we are still in the early stages of developing fault-tolerant, utility scale quantum computers and other products utilizing quantum technology that can be commercially successful at scale.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development project is the creation of a full-stack quantum computing solution that integrates proprietary photonic hardware with a modality-agnostic software platform. Our hardware progress is demonstrated through the Borealis and Aurora quantum computers. The software stack is anchored by PennyLane, a modality agnostic, open-source framework used by quantum application researchers globally. Our technical roadmap focuses on scaling networked, modular systems into large-scale, fault-tolerant machines. In 2022, our 216-qubit Borealis system achieved a milestone in quantum supremacy. In 2025, our Aurora system became the world’s first networked, modular photonic quantum computer, demonstrating real-time error detection.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architecture is currently designed with a target to scale to up to 100,000 physical qubits and up to 500 logical qubits in 2029-2030. Through fiscal 2026, we expect to achieve device performance improvement and early fault-tolerance building blocks. Through 2028, we will scale error-corrected operations and produce early error-corrected demonstrations. We have established a target of 2029-2030 to achieve the widely recognized threshold for broad-based capabilities in commercially valuable applications.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Operationally, we are subject to compliance with U.S. and Canadian foreign investment laws, including review by CFIUS and the Investment Canada Act and we will have to adhere to export controls on quantum computing technology and related software solutions. Please also refer to the section titled “Risk Factors” in our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and cash equivalents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and cash equivalents balance is a critical measure of our liquidity. We consider cash and cash equivalents to be an important measure for investors because it measures the amount of cash we have on hand for the significant capital expenditures required for research and development costs, scaling our infrastructure and technology and other business needs. Our cash and cash equivalents balance increased to $272.5 million as of March 31, 2026, from $16.2 million as of December 31, 2025, a net increase of $256.3 million. The increase is driven by proceeds received from the Reverse Recapitalization and PIPE transaction. Our cash and cash equivalents are generally held in interest-bearing accounts which generated $122 thousand and $751 thousand for the three months ended March 31, 2026 and 2025, respectively. Our reporting and functional currency is the U.S. dollar and our sources of funds are primarily denominated in U.S. dollars. A significant portion of our operations occur in Canada, subjecting our cash position and related interest income to foreign currency risk, primarily related to fluctuations between the U.S. dollar and the Canadian dollar. We are continuing to invest in our treasury strategy as we raise additional funding to support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 and Non-GAAP Financial Measure Adjusted EBITDA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use net loss to assess our operating performance. In addition to net loss, we provide Adjusted EBITDA, which is a financial measure that is not required by or presented in accordance with U.S. GAAP. Management believes that this measure provides investors with an additional meaningful method to evaluate certain aspects of our results period over period. We define Adjusted EBITDA as net loss before interest expense, income tax expense (benefit), depreciation and amortization expense, stock-based compensation, change in the fair value of financial instruments, and other non-recurring income and expenses. We use Adjusted EBITDA to measure the operating performance of our business, excluding specifically identified items that we do not believe directly reflect our core operations and may not be indicative of our recurring operations. Similar to revenue, while we use net loss and Adjusted EBITDA to measure our operating performance, we expect that in the near term, net loss and Adjusted EBITDA will not be reliable indicators of our performance, particularly from period-to-period, as we primarily focus on developing and readying our technology for commercial success. For additional information regarding Adjusted EBITDA and a reconciliation of Adjusted EBITDA to net loss, see the section entitled “- </w:t>
      </w:r>
      <w:r>
        <w:rPr>
          <w:rFonts w:ascii="Times New Roman;Times;Serif" w:hAnsi="Times New Roman;Times;Serif"/>
          <w:b w:val="false"/>
          <w:i/>
          <w:caps w:val="false"/>
          <w:smallCaps w:val="false"/>
          <w:sz w:val="20"/>
        </w:rPr>
        <w:t>Results and Reconciliation of Non-GAAP Financial Measure Adjusted EBITDA</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in the first quarter of 2026, the Company updated the definition of Adjusted EBITDA to exclude all “changes in fair value of financial instruments”. Previously, the Company’s definition only excluded the “change in fair value of warrant liabilities.” Management believes this broader exclusion provides a more consistent view of operating performance by removing non-cash market volatility across all financial instruments. There was no impact to Adjusted EBITDA for the quarter ended March 31, 2025 and the year ended December 31, 2025 as a result of this change, as the Company did not hold other financial instruments subject to fair value changes during that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Trends and Key Factors Affecting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performance and future success depend on several factors that present significant opportunities for us but also pose risks and challenges, including those discussed below and the section “</w:t>
      </w:r>
      <w:r>
        <w:rPr>
          <w:rFonts w:ascii="Times New Roman;Times;Serif" w:hAnsi="Times New Roman;Times;Serif"/>
          <w:b w:val="false"/>
          <w:i/>
          <w:caps w:val="false"/>
          <w:smallCaps w:val="false"/>
          <w:sz w:val="20"/>
        </w:rPr>
        <w:t xml:space="preserve">Risk Factors” </w:t>
      </w:r>
      <w:r>
        <w:rPr>
          <w:rFonts w:ascii="Times New Roman;Times;Serif" w:hAnsi="Times New Roman;Times;Serif"/>
          <w:b w:val="false"/>
          <w:i w:val="false"/>
          <w:caps w:val="false"/>
          <w:smallCaps w:val="false"/>
          <w:sz w:val="20"/>
        </w:rPr>
        <w:t>in our Annual Report as filed on April 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Technology Milestones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dependent on our ability to demonstrate the technological feasibility of our products and services, as well as R&amp;D of our technology. These milestones include achieving further error correction overhead breakthroughs and concurrent integration of our software stack with performance hardware. In addition, we remain steadfast in our commitment to developing commercially valuable applications, including executing our next generation architecture which is designed to scale up to 100,000 physical qubits and up to 500 logical qubits, which we target achieving in 2029-2030. This anticipated timing reflects a prudent calibration of our technical milestones to ensure that our forthcoming deployments meet rigorous stability and performance standards essential for enterprise-grade integration.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Partnership Opportunities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growth depends in part on our ability to continue to successfully identify and enter into strategic partnership opportunities. We have historically entered into partnerships with major multinational companies, government agencies and academic organizations to help enhance our capabilities, improve operational efficiencies, increase supply chain resilience and expand our addressable market. We expect we will continue to explore and enter new academic and commercial partnership opportunities that we believe are complementary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User Acquisition and Retention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of our monetization strategy is designed to capture value across the entire quantum technology stack. Our primary strategy for new customer acquisition is based on co-development and intellectual property creation, establishing deep commercial relationships with enterprises and governments focused on solving their most complex challenges. These collaborations are priced commensurate to the work required to complete them. As our applications move from classical simulation to commercial deployment, their workloads will be naturally directed toward our high-performance photonic hardware for which we expect revenue will be generated primarily through QCaaS, offering on-demand and subscription-based utilization of our photonic quantum computers via major cloud platforms and direct enterprise integrations.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hardware model is complemented by our market-leading software ecosystem, which we intend to monetize through subscription-based enterprise versions and sales of complementary quantum-classical workflow tools, thus converting our vast open-source user base into a recurring, high-margin software stream.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customers requiring the highest security and data sovereignty, such as defense agencies, we plan to execute dedicated system sales of our physical quantum computers and the integrated software layer, complete with ongoing maintenance and support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Availability of Financing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successful implementation of our monetization strategy is contingent upon significant and sustained capital investment to achieve the necessary technological and commercial scale. We anticipate substantial capital expenditures in the coming years primarily directed toward accelerating our R&amp;D roadmap, scaling our photonic integrated circuit fabrication processes, and building the modular quantum racks required for utility-scale systems. Realizing our revenue will require material financial commitment to both hardware infrastructure development and the expansion of our scientific and commercial teams to support and service a global customer base. Our ability to secure adequate funding will be critical to achieving the scale necessary to transition from government grants and co-development revenue to consistent, high-volume compute economics.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102</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Macroeconomic Environment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of our operations have varied and may continue to vary based on the impact of changes in the domestic or global economy. Negative conditions in the general economy in Canada, the United States and abroad, including conditions resulting from changes in gross domestic product growth, inflation, interest rates, financial and credit market fluctuations, international trade relations and tariffs, pandemics, political turmoil, natural catastrophes, warfare, and terrorist attacks, could negatively affect our business, including progress toward the development of quantum computing. It is not possible at this time to estimate the long-term impact that these and related events could have on our business, as the impact will depend on future developments, which are highly uncertain and cannot be predicted. If these conditions persist and deepen, we could experience an inability to access additional capital if needed, or our liquidity could otherwise be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in a pre-commercial stage and does not yet offer quantum computers available for commercial sale beyond those in the early stages of development. Our current revenue is generated through two primary channels: (i) professional services related to research projects, proof of concept development, and quantum education and (ii) compute and other services which includes provision of compute services, such as co-development and execution of quantum algorithms which may later be performed on the Company’s utility scale quantum computing systems, and provision, on a non-exclusive basis, via access to its photonic based-hardware, of QCaaS.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QCaaS revenue is recognized on a straight-line basis over the contract term. Professional services revenue is recognized based on completed milestones or hours and or costs incurred as appropriate. Revenue for partially completed milestones deemed probable of being met is recognized using an input measure based on actual labor hours incurred to date relative to total estimated labor hours required to complete the milestone. For fixed price milestone-based contracts, revenue is recognized based on the input measure noted above as control is expected to transfer over the period that the milestone is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expenses consist of cost of revenue, R&amp;D, general and administrative, sales and marketing expenses, depreciation and amortization, and other operating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pre-commercial revenue includes all direct and indirect expenses related to delivering our services and where applicable, the cost of building specialized quantum hardware. This encompasses personnel-related expenses, including stock-based compensation, direct manufacturing costs and overhead costs allocated to customer- facing functions. Depreciation and amortization of quantum systems and related software are excluded from cost of revenue. Due to our effort to concentrate only on revenue projects that are aligned with our core R&amp;D roadmap, these costs remain low as we incur only limited incremental costs over and above our planned R&amp;D spend to meet our revenue obligations to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of costs incurred in performing R&amp;D activities and include personnel-related costs, process development costs, chip fabrication costs, consulting fees, lab materials, software costs, cloud computing costs, and other related costs. R&amp;D expenses also include purchased hardware and software costs related to quantum computing systems constructed for research purposes that are not probable of providing a future economic benefit and have no alternate future use as well as costs associated with third party R&amp;D arrangements. Where tangible assets or software to be used in research and development activities is constructed by us or acquired, the costs are expensed as incurred unless those assets have an alternative future use. When assets with alternative future use are consumed in research and development activities they are recorded as research and development expenses. We expect an increase in R&amp;D expenditure as we continue to invest in advancing our technology and supporting ongoing product development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103</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of personnel costs such as salaries, benefits, and stock-based compensation for employees, as well as overhead costs allocated to corporate, executive, finance, and other administrative functions. We expect these expenses to increase as we continue scaling our support functions to match business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consist of personnel-related expenses, including salaries, benefits and stock-based compensation for employees involved in sales and marketing activities, costs for direct advertising, marketing and promotional expenditures and allocated overhead costs for our sales and marketing functions. We expect to continue to make investments in sales and marketing to strengthen market presence and expand our customer base.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Depreciation and amortization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expenses arise from depreciation and amortization of our property and equipment, such as our quantum computing systems, and intangible assets including patents and software over their estimated useful lives.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operating income,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income, net, includes contributions from government, sponsorships of our community events and other transactional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Income (Expense),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(expense) includes interest income earned on our cash deposits and interest expense and loan remeasurements on our long-term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on fair value of earn-out share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fair value of earn-out share liabilities, is related to fair value adjustments from the valuation of our earn-out share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(expense),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 includes interest income earned on our cash deposits, gain and losses on disposal of equipment and foreign exchange gain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104</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results of operations for the periods indicated: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March 31, 2026 and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00"/>
        <w:gridCol w:w="60"/>
        <w:gridCol w:w="157"/>
        <w:gridCol w:w="847"/>
        <w:gridCol w:w="105"/>
        <w:gridCol w:w="67"/>
        <w:gridCol w:w="157"/>
        <w:gridCol w:w="847"/>
        <w:gridCol w:w="95"/>
        <w:gridCol w:w="60"/>
        <w:gridCol w:w="140"/>
        <w:gridCol w:w="755"/>
        <w:gridCol w:w="95"/>
        <w:gridCol w:w="60"/>
        <w:gridCol w:w="60"/>
        <w:gridCol w:w="455"/>
        <w:gridCol w:w="345"/>
      </w:tblGrid>
      <w:tr>
        <w:trPr/>
        <w:tc>
          <w:tcPr>
            <w:tcW w:w="59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345" w:type="dxa"/>
            <w:tcBorders/>
            <w:vAlign w:val="center"/>
          </w:tcPr>
          <w:p>
            <w:pPr>
              <w:pStyle w:val="TableContents"/>
              <w:bidi w:val="0"/>
              <w:spacing w:before="0" w:after="283"/>
              <w:jc w:val="left"/>
              <w:rPr/>
            </w:pPr>
            <w:r>
              <w:rPr/>
              <w:t> </w:t>
            </w:r>
          </w:p>
        </w:tc>
      </w:tr>
      <w:tr>
        <w:trPr/>
        <w:tc>
          <w:tcPr>
            <w:tcW w:w="5900" w:type="dxa"/>
            <w:tcBorders>
              <w:bottom w:val="single" w:sz="12" w:space="0" w:color="000000"/>
            </w:tcBorders>
            <w:tcMar>
              <w:bottom w:w="28" w:type="dxa"/>
            </w:tcMar>
            <w:vAlign w:val="center"/>
          </w:tcPr>
          <w:p>
            <w:pPr>
              <w:pStyle w:val="TableContents"/>
              <w:bidi w:val="0"/>
              <w:spacing w:before="0" w:after="283"/>
              <w:jc w:val="left"/>
              <w:rPr>
                <w:b/>
                <w:i/>
              </w:rPr>
            </w:pPr>
            <w:r>
              <w:rPr>
                <w:b/>
                <w:i/>
              </w:rPr>
              <w:t>(In thousands; percent changes based on unrounded numbers)</w:t>
            </w:r>
          </w:p>
        </w:tc>
        <w:tc>
          <w:tcPr>
            <w:tcW w:w="60" w:type="dxa"/>
            <w:tcBorders/>
            <w:vAlign w:val="center"/>
          </w:tcPr>
          <w:p>
            <w:pPr>
              <w:pStyle w:val="TableContents"/>
              <w:bidi w:val="0"/>
              <w:spacing w:before="0" w:after="283"/>
              <w:jc w:val="left"/>
              <w:rPr/>
            </w:pPr>
            <w:r>
              <w:rPr/>
              <w:t> </w:t>
            </w:r>
          </w:p>
        </w:tc>
        <w:tc>
          <w:tcPr>
            <w:tcW w:w="10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0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345"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847" w:type="dxa"/>
            <w:tcBorders/>
            <w:shd w:fill="CCEEFF" w:val="clear"/>
            <w:vAlign w:val="center"/>
          </w:tcPr>
          <w:p>
            <w:pPr>
              <w:pStyle w:val="TableContents"/>
              <w:bidi w:val="0"/>
              <w:spacing w:before="0" w:after="283"/>
              <w:jc w:val="right"/>
              <w:rPr/>
            </w:pPr>
            <w:r>
              <w:rPr/>
              <w:t>2,832</w:t>
            </w:r>
          </w:p>
        </w:tc>
        <w:tc>
          <w:tcPr>
            <w:tcW w:w="105"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847" w:type="dxa"/>
            <w:tcBorders/>
            <w:shd w:fill="CCEEFF" w:val="clear"/>
            <w:vAlign w:val="center"/>
          </w:tcPr>
          <w:p>
            <w:pPr>
              <w:pStyle w:val="TableContents"/>
              <w:bidi w:val="0"/>
              <w:spacing w:before="0" w:after="283"/>
              <w:jc w:val="right"/>
              <w:rPr/>
            </w:pPr>
            <w:r>
              <w:rPr/>
              <w:t>699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2,133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305</w:t>
            </w:r>
          </w:p>
        </w:tc>
        <w:tc>
          <w:tcPr>
            <w:tcW w:w="345" w:type="dxa"/>
            <w:tcBorders/>
            <w:shd w:fill="CCEEFF" w:val="clear"/>
            <w:vAlign w:val="center"/>
          </w:tcPr>
          <w:p>
            <w:pPr>
              <w:pStyle w:val="TableContents"/>
              <w:bidi w:val="0"/>
              <w:spacing w:before="0" w:after="283"/>
              <w:jc w:val="left"/>
              <w:rPr/>
            </w:pPr>
            <w:r>
              <w:rPr/>
              <w:t>%</w:t>
            </w:r>
          </w:p>
        </w:tc>
      </w:tr>
      <w:tr>
        <w:trPr/>
        <w:tc>
          <w:tcPr>
            <w:tcW w:w="5900"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c>
          <w:tcPr>
            <w:tcW w:w="345" w:type="dxa"/>
            <w:tcBorders/>
            <w:shd w:fill="FFFFFF" w:val="clear"/>
            <w:vAlign w:val="center"/>
          </w:tcPr>
          <w:p>
            <w:pPr>
              <w:pStyle w:val="TableContents"/>
              <w:bidi w:val="0"/>
              <w:spacing w:before="0" w:after="283"/>
              <w:ind w:left="0" w:right="0" w:hanging="180"/>
              <w:jc w:val="left"/>
              <w:rPr/>
            </w:pPr>
            <w:r>
              <w:rPr/>
              <w:t> </w:t>
            </w:r>
          </w:p>
        </w:tc>
      </w:tr>
      <w:tr>
        <w:trPr/>
        <w:tc>
          <w:tcPr>
            <w:tcW w:w="5900" w:type="dxa"/>
            <w:tcBorders/>
            <w:shd w:fill="CCEEFF" w:val="clear"/>
            <w:vAlign w:val="center"/>
          </w:tcPr>
          <w:p>
            <w:pPr>
              <w:pStyle w:val="TableContents"/>
              <w:bidi w:val="0"/>
              <w:spacing w:before="0" w:after="283"/>
              <w:jc w:val="left"/>
              <w:rPr/>
            </w:pPr>
            <w:r>
              <w:rPr/>
              <w:t>Cost of revenue (exclusive of depreciation and amortization below)</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113</w:t>
            </w:r>
          </w:p>
        </w:tc>
        <w:tc>
          <w:tcPr>
            <w:tcW w:w="105"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129</w:t>
            </w:r>
          </w:p>
        </w:tc>
        <w:tc>
          <w:tcPr>
            <w:tcW w:w="345" w:type="dxa"/>
            <w:tcBorders/>
            <w:shd w:fill="CCEEFF" w:val="clear"/>
            <w:vAlign w:val="center"/>
          </w:tcPr>
          <w:p>
            <w:pPr>
              <w:pStyle w:val="TableContents"/>
              <w:bidi w:val="0"/>
              <w:spacing w:before="0" w:after="283"/>
              <w:jc w:val="left"/>
              <w:rPr/>
            </w:pPr>
            <w:r>
              <w:rPr/>
              <w:t>%</w:t>
            </w:r>
          </w:p>
        </w:tc>
      </w:tr>
      <w:tr>
        <w:trPr/>
        <w:tc>
          <w:tcPr>
            <w:tcW w:w="590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17,348</w:t>
            </w:r>
          </w:p>
        </w:tc>
        <w:tc>
          <w:tcPr>
            <w:tcW w:w="105"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10,009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7,339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73</w:t>
            </w:r>
          </w:p>
        </w:tc>
        <w:tc>
          <w:tcPr>
            <w:tcW w:w="345" w:type="dxa"/>
            <w:tcBorders/>
            <w:shd w:fill="FFFFFF" w:val="clear"/>
            <w:vAlign w:val="center"/>
          </w:tcPr>
          <w:p>
            <w:pPr>
              <w:pStyle w:val="TableContents"/>
              <w:bidi w:val="0"/>
              <w:spacing w:before="0" w:after="283"/>
              <w:jc w:val="left"/>
              <w:rPr/>
            </w:pPr>
            <w:r>
              <w:rPr/>
              <w:t>%</w:t>
            </w:r>
          </w:p>
        </w:tc>
      </w:tr>
      <w:tr>
        <w:trPr/>
        <w:tc>
          <w:tcPr>
            <w:tcW w:w="590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9,759</w:t>
            </w:r>
          </w:p>
        </w:tc>
        <w:tc>
          <w:tcPr>
            <w:tcW w:w="105"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1,912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7,847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410</w:t>
            </w:r>
          </w:p>
        </w:tc>
        <w:tc>
          <w:tcPr>
            <w:tcW w:w="345" w:type="dxa"/>
            <w:tcBorders/>
            <w:shd w:fill="CCEEFF" w:val="clear"/>
            <w:vAlign w:val="center"/>
          </w:tcPr>
          <w:p>
            <w:pPr>
              <w:pStyle w:val="TableContents"/>
              <w:bidi w:val="0"/>
              <w:spacing w:before="0" w:after="283"/>
              <w:jc w:val="left"/>
              <w:rPr/>
            </w:pPr>
            <w:r>
              <w:rPr/>
              <w:t>%</w:t>
            </w:r>
          </w:p>
        </w:tc>
      </w:tr>
      <w:tr>
        <w:trPr/>
        <w:tc>
          <w:tcPr>
            <w:tcW w:w="590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1,401</w:t>
            </w:r>
          </w:p>
        </w:tc>
        <w:tc>
          <w:tcPr>
            <w:tcW w:w="105"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228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515</w:t>
            </w:r>
          </w:p>
        </w:tc>
        <w:tc>
          <w:tcPr>
            <w:tcW w:w="345" w:type="dxa"/>
            <w:tcBorders/>
            <w:shd w:fill="FFFFFF" w:val="clear"/>
            <w:vAlign w:val="center"/>
          </w:tcPr>
          <w:p>
            <w:pPr>
              <w:pStyle w:val="TableContents"/>
              <w:bidi w:val="0"/>
              <w:spacing w:before="0" w:after="283"/>
              <w:jc w:val="left"/>
              <w:rPr/>
            </w:pPr>
            <w:r>
              <w:rPr/>
              <w:t>%</w:t>
            </w:r>
          </w:p>
        </w:tc>
      </w:tr>
      <w:tr>
        <w:trPr/>
        <w:tc>
          <w:tcPr>
            <w:tcW w:w="590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1,617</w:t>
            </w:r>
          </w:p>
        </w:tc>
        <w:tc>
          <w:tcPr>
            <w:tcW w:w="105"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1,277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27</w:t>
            </w:r>
          </w:p>
        </w:tc>
        <w:tc>
          <w:tcPr>
            <w:tcW w:w="345" w:type="dxa"/>
            <w:tcBorders/>
            <w:shd w:fill="CCEEFF" w:val="clear"/>
            <w:vAlign w:val="center"/>
          </w:tcPr>
          <w:p>
            <w:pPr>
              <w:pStyle w:val="TableContents"/>
              <w:bidi w:val="0"/>
              <w:spacing w:before="0" w:after="283"/>
              <w:jc w:val="left"/>
              <w:rPr/>
            </w:pPr>
            <w:r>
              <w:rPr/>
              <w:t>%</w:t>
            </w:r>
          </w:p>
        </w:tc>
      </w:tr>
      <w:tr>
        <w:trPr/>
        <w:tc>
          <w:tcPr>
            <w:tcW w:w="5900" w:type="dxa"/>
            <w:tcBorders/>
            <w:shd w:fill="FFFFFF" w:val="clear"/>
            <w:vAlign w:val="center"/>
          </w:tcPr>
          <w:p>
            <w:pPr>
              <w:pStyle w:val="TableContents"/>
              <w:bidi w:val="0"/>
              <w:spacing w:before="0" w:after="283"/>
              <w:jc w:val="left"/>
              <w:rPr/>
            </w:pPr>
            <w:r>
              <w:rPr/>
              <w:t>Other operating income, net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FFFFFF" w:val="clear"/>
            <w:tcMar>
              <w:bottom w:w="28" w:type="dxa"/>
            </w:tcMar>
            <w:vAlign w:val="center"/>
          </w:tcPr>
          <w:p>
            <w:pPr>
              <w:pStyle w:val="TableContents"/>
              <w:bidi w:val="0"/>
              <w:spacing w:before="0" w:after="283"/>
              <w:jc w:val="right"/>
              <w:rPr/>
            </w:pPr>
            <w:r>
              <w:rPr/>
              <w:t>(4,139</w:t>
            </w:r>
          </w:p>
        </w:tc>
        <w:tc>
          <w:tcPr>
            <w:tcW w:w="105"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FFFFFF" w:val="clear"/>
            <w:tcMar>
              <w:bottom w:w="28" w:type="dxa"/>
            </w:tcMar>
            <w:vAlign w:val="center"/>
          </w:tcPr>
          <w:p>
            <w:pPr>
              <w:pStyle w:val="TableContents"/>
              <w:bidi w:val="0"/>
              <w:spacing w:before="0" w:after="283"/>
              <w:jc w:val="right"/>
              <w:rPr/>
            </w:pPr>
            <w:r>
              <w:rPr/>
              <w:t>(11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(4,128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345" w:type="dxa"/>
            <w:tcBorders/>
            <w:shd w:fill="FFFFFF" w:val="clear"/>
            <w:vAlign w:val="center"/>
          </w:tcPr>
          <w:p>
            <w:pPr>
              <w:pStyle w:val="TableContents"/>
              <w:bidi w:val="0"/>
              <w:spacing w:before="0" w:after="283"/>
              <w:jc w:val="left"/>
              <w:rPr>
                <w:position w:val="8"/>
                <w:sz w:val="19"/>
              </w:rPr>
            </w:pPr>
            <w:r>
              <w:rPr>
                <w:position w:val="8"/>
                <w:sz w:val="19"/>
              </w:rPr>
              <w:t>(1)</w:t>
            </w:r>
          </w:p>
        </w:tc>
      </w:tr>
      <w:tr>
        <w:trPr/>
        <w:tc>
          <w:tcPr>
            <w:tcW w:w="590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26,099</w:t>
            </w:r>
          </w:p>
        </w:tc>
        <w:tc>
          <w:tcPr>
            <w:tcW w:w="105"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13,464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12,635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94</w:t>
            </w:r>
          </w:p>
        </w:tc>
        <w:tc>
          <w:tcPr>
            <w:tcW w:w="345" w:type="dxa"/>
            <w:tcBorders/>
            <w:shd w:fill="CCEEFF" w:val="clear"/>
            <w:vAlign w:val="center"/>
          </w:tcPr>
          <w:p>
            <w:pPr>
              <w:pStyle w:val="TableContents"/>
              <w:bidi w:val="0"/>
              <w:spacing w:before="0" w:after="283"/>
              <w:jc w:val="left"/>
              <w:rPr>
                <w:b/>
              </w:rPr>
            </w:pPr>
            <w:r>
              <w:rPr>
                <w:b/>
              </w:rPr>
              <w:t>%</w:t>
            </w:r>
          </w:p>
        </w:tc>
      </w:tr>
      <w:tr>
        <w:trPr/>
        <w:tc>
          <w:tcPr>
            <w:tcW w:w="5900"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b/>
              </w:rPr>
            </w:pPr>
            <w:r>
              <w:rPr>
                <w:b/>
              </w:rPr>
              <w:t>(23,267</w:t>
            </w:r>
          </w:p>
        </w:tc>
        <w:tc>
          <w:tcPr>
            <w:tcW w:w="105" w:type="dxa"/>
            <w:tcBorders/>
            <w:shd w:fill="FFFFFF" w:val="clear"/>
            <w:vAlign w:val="center"/>
          </w:tcPr>
          <w:p>
            <w:pPr>
              <w:pStyle w:val="TableContents"/>
              <w:bidi w:val="0"/>
              <w:spacing w:before="0" w:after="283"/>
              <w:jc w:val="left"/>
              <w:rPr>
                <w:b/>
              </w:rPr>
            </w:pPr>
            <w:r>
              <w:rPr>
                <w:b/>
              </w:rPr>
              <w:t>)</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b/>
              </w:rPr>
            </w:pPr>
            <w:r>
              <w:rPr>
                <w:b/>
              </w:rPr>
              <w:t>(12,765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(10,502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b/>
              </w:rPr>
            </w:pPr>
            <w:r>
              <w:rPr>
                <w:b/>
              </w:rPr>
              <w:t>82</w:t>
            </w:r>
          </w:p>
        </w:tc>
        <w:tc>
          <w:tcPr>
            <w:tcW w:w="345" w:type="dxa"/>
            <w:tcBorders/>
            <w:shd w:fill="FFFFFF" w:val="clear"/>
            <w:vAlign w:val="center"/>
          </w:tcPr>
          <w:p>
            <w:pPr>
              <w:pStyle w:val="TableContents"/>
              <w:bidi w:val="0"/>
              <w:spacing w:before="0" w:after="283"/>
              <w:jc w:val="left"/>
              <w:rPr>
                <w:b/>
              </w:rPr>
            </w:pPr>
            <w:r>
              <w:rPr>
                <w:b/>
              </w:rPr>
              <w:t>%</w:t>
            </w:r>
          </w:p>
        </w:tc>
      </w:tr>
      <w:tr>
        <w:trPr/>
        <w:tc>
          <w:tcPr>
            <w:tcW w:w="5900" w:type="dxa"/>
            <w:tcBorders/>
            <w:shd w:fill="CCEEFF" w:val="clear"/>
            <w:vAlign w:val="center"/>
          </w:tcPr>
          <w:p>
            <w:pPr>
              <w:pStyle w:val="TableContents"/>
              <w:bidi w:val="0"/>
              <w:spacing w:before="0" w:after="283"/>
              <w:jc w:val="left"/>
              <w:rPr>
                <w:b/>
              </w:rPr>
            </w:pPr>
            <w:r>
              <w:rPr>
                <w:b/>
              </w:rPr>
              <w:t>Other income (expense), net: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345"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283"/>
              <w:jc w:val="left"/>
              <w:rPr/>
            </w:pPr>
            <w:r>
              <w:rPr/>
              <w:t>Interest income (expense), net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(190</w:t>
            </w:r>
          </w:p>
        </w:tc>
        <w:tc>
          <w:tcPr>
            <w:tcW w:w="105"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553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(134</w:t>
            </w:r>
          </w:p>
        </w:tc>
        <w:tc>
          <w:tcPr>
            <w:tcW w:w="345" w:type="dxa"/>
            <w:tcBorders/>
            <w:shd w:fill="FFFFFF" w:val="clear"/>
            <w:vAlign w:val="center"/>
          </w:tcPr>
          <w:p>
            <w:pPr>
              <w:pStyle w:val="TableContents"/>
              <w:bidi w:val="0"/>
              <w:spacing w:before="0" w:after="283"/>
              <w:jc w:val="left"/>
              <w:rPr/>
            </w:pPr>
            <w:r>
              <w:rPr/>
              <w:t>)%</w:t>
            </w:r>
          </w:p>
        </w:tc>
      </w:tr>
      <w:tr>
        <w:trPr/>
        <w:tc>
          <w:tcPr>
            <w:tcW w:w="5900" w:type="dxa"/>
            <w:tcBorders/>
            <w:shd w:fill="CCEEFF" w:val="clear"/>
            <w:vAlign w:val="center"/>
          </w:tcPr>
          <w:p>
            <w:pPr>
              <w:pStyle w:val="TableContents"/>
              <w:bidi w:val="0"/>
              <w:spacing w:before="0" w:after="283"/>
              <w:jc w:val="left"/>
              <w:rPr/>
            </w:pPr>
            <w:r>
              <w:rPr/>
              <w:t>Gain on fair value of earn-out share liabilities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2,833</w:t>
            </w:r>
          </w:p>
        </w:tc>
        <w:tc>
          <w:tcPr>
            <w:tcW w:w="105"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345"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FFFFFF" w:val="clear"/>
            <w:tcMar>
              <w:bottom w:w="28" w:type="dxa"/>
            </w:tcMar>
            <w:vAlign w:val="center"/>
          </w:tcPr>
          <w:p>
            <w:pPr>
              <w:pStyle w:val="TableContents"/>
              <w:bidi w:val="0"/>
              <w:spacing w:before="0" w:after="283"/>
              <w:jc w:val="right"/>
              <w:rPr/>
            </w:pPr>
            <w:r>
              <w:rPr/>
              <w:t>20</w:t>
            </w:r>
          </w:p>
        </w:tc>
        <w:tc>
          <w:tcPr>
            <w:tcW w:w="105"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FFFFFF" w:val="clear"/>
            <w:tcMar>
              <w:bottom w:w="28" w:type="dxa"/>
            </w:tcM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right"/>
              <w:rPr/>
            </w:pPr>
            <w:r>
              <w:rPr/>
              <w:t>180</w:t>
            </w:r>
          </w:p>
        </w:tc>
        <w:tc>
          <w:tcPr>
            <w:tcW w:w="345" w:type="dxa"/>
            <w:tcBorders/>
            <w:shd w:fill="FFFFFF" w:val="clear"/>
            <w:vAlign w:val="center"/>
          </w:tcPr>
          <w:p>
            <w:pPr>
              <w:pStyle w:val="TableContents"/>
              <w:bidi w:val="0"/>
              <w:spacing w:before="0" w:after="283"/>
              <w:jc w:val="left"/>
              <w:rPr/>
            </w:pPr>
            <w:r>
              <w:rPr/>
              <w:t>%</w:t>
            </w:r>
          </w:p>
        </w:tc>
      </w:tr>
      <w:tr>
        <w:trPr/>
        <w:tc>
          <w:tcPr>
            <w:tcW w:w="5900"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2,663</w:t>
            </w:r>
          </w:p>
        </w:tc>
        <w:tc>
          <w:tcPr>
            <w:tcW w:w="105"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2,103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376</w:t>
            </w:r>
          </w:p>
        </w:tc>
        <w:tc>
          <w:tcPr>
            <w:tcW w:w="345" w:type="dxa"/>
            <w:tcBorders/>
            <w:shd w:fill="CCEEFF" w:val="clear"/>
            <w:vAlign w:val="center"/>
          </w:tcPr>
          <w:p>
            <w:pPr>
              <w:pStyle w:val="TableContents"/>
              <w:bidi w:val="0"/>
              <w:spacing w:before="0" w:after="283"/>
              <w:jc w:val="left"/>
              <w:rPr>
                <w:b/>
              </w:rPr>
            </w:pPr>
            <w:r>
              <w:rPr>
                <w:b/>
              </w:rPr>
              <w:t>%</w:t>
            </w:r>
          </w:p>
        </w:tc>
      </w:tr>
      <w:tr>
        <w:trPr/>
        <w:tc>
          <w:tcPr>
            <w:tcW w:w="590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84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(20,604</w:t>
            </w:r>
          </w:p>
        </w:tc>
        <w:tc>
          <w:tcPr>
            <w:tcW w:w="105" w:type="dxa"/>
            <w:tcBorders/>
            <w:shd w:fill="FFFFFF" w:val="clear"/>
            <w:vAlign w:val="center"/>
          </w:tcPr>
          <w:p>
            <w:pPr>
              <w:pStyle w:val="TableContents"/>
              <w:bidi w:val="0"/>
              <w:spacing w:before="0" w:after="283"/>
              <w:jc w:val="left"/>
              <w:rPr>
                <w:b/>
              </w:rPr>
            </w:pPr>
            <w:r>
              <w:rPr>
                <w:b/>
              </w:rPr>
              <w:t>)</w:t>
            </w:r>
          </w:p>
        </w:tc>
        <w:tc>
          <w:tcPr>
            <w:tcW w:w="67"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84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(12,205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(8,399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69</w:t>
            </w:r>
          </w:p>
        </w:tc>
        <w:tc>
          <w:tcPr>
            <w:tcW w:w="345" w:type="dxa"/>
            <w:tcBorders/>
            <w:shd w:fill="FFFFFF" w:val="clear"/>
            <w:vAlign w:val="center"/>
          </w:tcPr>
          <w:p>
            <w:pPr>
              <w:pStyle w:val="TableContents"/>
              <w:bidi w:val="0"/>
              <w:spacing w:before="0" w:after="283"/>
              <w:jc w:val="left"/>
              <w:rPr>
                <w:b/>
              </w:rPr>
            </w:pPr>
            <w:r>
              <w:rPr>
                <w:b/>
              </w:rPr>
              <w:t>%</w:t>
            </w:r>
          </w:p>
        </w:tc>
      </w:tr>
      <w:tr>
        <w:trPr/>
        <w:tc>
          <w:tcPr>
            <w:tcW w:w="5900" w:type="dxa"/>
            <w:tcBorders/>
            <w:shd w:fill="CCEEFF" w:val="clear"/>
            <w:vAlign w:val="center"/>
          </w:tcPr>
          <w:p>
            <w:pPr>
              <w:pStyle w:val="TableContents"/>
              <w:bidi w:val="0"/>
              <w:spacing w:before="0" w:after="283"/>
              <w:jc w:val="left"/>
              <w:rPr/>
            </w:pPr>
            <w:r>
              <w:rPr/>
              <w:t>Cumulative translation adjustment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(217</w:t>
            </w:r>
          </w:p>
        </w:tc>
        <w:tc>
          <w:tcPr>
            <w:tcW w:w="105" w:type="dxa"/>
            <w:tcBorders/>
            <w:shd w:fill="CCEEFF" w:val="clear"/>
            <w:vAlign w:val="center"/>
          </w:tcPr>
          <w:p>
            <w:pPr>
              <w:pStyle w:val="TableContents"/>
              <w:bidi w:val="0"/>
              <w:spacing w:before="0" w:after="283"/>
              <w:jc w:val="left"/>
              <w:rPr>
                <w:b/>
              </w:rPr>
            </w:pPr>
            <w:r>
              <w:rPr>
                <w:b/>
              </w:rPr>
              <w:t>)</w:t>
            </w:r>
          </w:p>
        </w:tc>
        <w:tc>
          <w:tcPr>
            <w:tcW w:w="67"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(280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(444</w:t>
            </w:r>
          </w:p>
        </w:tc>
        <w:tc>
          <w:tcPr>
            <w:tcW w:w="345" w:type="dxa"/>
            <w:tcBorders/>
            <w:shd w:fill="CCEEFF" w:val="clear"/>
            <w:vAlign w:val="center"/>
          </w:tcPr>
          <w:p>
            <w:pPr>
              <w:pStyle w:val="TableContents"/>
              <w:bidi w:val="0"/>
              <w:spacing w:before="0" w:after="283"/>
              <w:jc w:val="left"/>
              <w:rPr>
                <w:b/>
              </w:rPr>
            </w:pPr>
            <w:r>
              <w:rPr>
                <w:b/>
              </w:rPr>
              <w:t>)%</w:t>
            </w:r>
          </w:p>
        </w:tc>
      </w:tr>
      <w:tr>
        <w:trPr/>
        <w:tc>
          <w:tcPr>
            <w:tcW w:w="5900" w:type="dxa"/>
            <w:tcBorders/>
            <w:shd w:fill="FFFFFF" w:val="clear"/>
            <w:vAlign w:val="center"/>
          </w:tcPr>
          <w:p>
            <w:pPr>
              <w:pStyle w:val="TableContents"/>
              <w:bidi w:val="0"/>
              <w:spacing w:before="0" w:after="283"/>
              <w:jc w:val="left"/>
              <w:rPr/>
            </w:pPr>
            <w:r>
              <w:rPr/>
              <w:t>Net comprehensive loss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84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(20,821</w:t>
            </w:r>
          </w:p>
        </w:tc>
        <w:tc>
          <w:tcPr>
            <w:tcW w:w="105" w:type="dxa"/>
            <w:tcBorders/>
            <w:shd w:fill="FFFFFF" w:val="clear"/>
            <w:vAlign w:val="center"/>
          </w:tcPr>
          <w:p>
            <w:pPr>
              <w:pStyle w:val="TableContents"/>
              <w:bidi w:val="0"/>
              <w:spacing w:before="0" w:after="283"/>
              <w:jc w:val="left"/>
              <w:rPr>
                <w:b/>
              </w:rPr>
            </w:pPr>
            <w:r>
              <w:rPr>
                <w:b/>
              </w:rPr>
              <w:t>)</w:t>
            </w:r>
          </w:p>
        </w:tc>
        <w:tc>
          <w:tcPr>
            <w:tcW w:w="67"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84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(12,142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(8,679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71</w:t>
            </w:r>
          </w:p>
        </w:tc>
        <w:tc>
          <w:tcPr>
            <w:tcW w:w="345"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260"/>
        <w:gridCol w:w="1520"/>
      </w:tblGrid>
      <w:tr>
        <w:trPr/>
        <w:tc>
          <w:tcPr>
            <w:tcW w:w="260" w:type="dxa"/>
            <w:tcBorders/>
            <w:vAlign w:val="center"/>
          </w:tcPr>
          <w:p>
            <w:pPr>
              <w:pStyle w:val="TableContents"/>
              <w:bidi w:val="0"/>
              <w:spacing w:before="0" w:after="283"/>
              <w:jc w:val="left"/>
              <w:rPr>
                <w:sz w:val="20"/>
              </w:rPr>
            </w:pPr>
            <w:r>
              <w:rPr>
                <w:sz w:val="20"/>
              </w:rPr>
              <w:t>(1)</w:t>
            </w:r>
          </w:p>
        </w:tc>
        <w:tc>
          <w:tcPr>
            <w:tcW w:w="1520" w:type="dxa"/>
            <w:tcBorders/>
            <w:vAlign w:val="center"/>
          </w:tcPr>
          <w:p>
            <w:pPr>
              <w:pStyle w:val="TableContents"/>
              <w:bidi w:val="0"/>
              <w:spacing w:before="0" w:after="283"/>
              <w:jc w:val="both"/>
              <w:rPr/>
            </w:pPr>
            <w:r>
              <w:rPr/>
              <w:t>Not meaningful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increased by $2.1 million, or 305%, for the three months ended March 31, 2026 as compared to the three months ended March 31, 2025. The increase in revenue was primarily attributable to our advancement to Stage B of the U.S. Defense Advanced Research Projects Agency led program assessing and validating quantum computing system performance against standardized metrics.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increased by $64 thousand, or 129%, for the three months ended March 31, 2026 as compared to the three months ended March 31, 2025. The increase was primarily attributable to higher labor costs incurred in connection with the performance of our various service contracts.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percentage of total revenue, cost of revenue was 4% and 7% for the three months ended March 31, 2026 and 2025, respectively. These costs remain low as the revenue contracts the Company enters into are aligned with our underlying R&amp;D roadmap and only incremental costs to complete the performance obligations are included in cost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105</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increased by $7.3 million, or 73%, for the three months ended March 31, 2026 as compared to the three months ended March 31, 2025. The increase was primarily driven by higher hardware utilization costs, specifically increased wafer consumption and process development costs, and higher payroll-related expenses, including stock-compensation, resulting from increased headcount. Research and development headcount increased by 25 full-time equivalent employees or 15%, as compared to the first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$7.8 million, or 410%, for the three months ended March 31, 2026 as compared to the three months ended March 31, 2025. The increase was primarily driven by higher professional fees, including legal, audit and advisory costs related to our Reverse Recapitalization and public offerings as well as higher payroll-related costs to support our operating as a public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increased by $1.2 million, or 515%, for the three months ended March 31, 2026 as compared to the three months ended March 31, 2025. The increase was primarily driven by higher public relations, promotion and marketing costs related to our Reverse Recapitalization and public listings in the first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Depreciation and Amortization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expenses increased by $340 thousand, or 27%, for the three months ended March 31, 2026 as compared to the three months ended March 31, 2025 primarily due to an increase in test equipment and capitalized internal-use software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Operating Income,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income, net increased by $4.1 million for the three months ended March 31, 2026 as compared to the three months ended March 31, 2025 primarily due to an increase in government grant and tax credits received, which was partially offset by a larger loss related to revaluations of the Company’s warrants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Income (Expense),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(expense), net decreased by $743 thousand, or 134%, for the three months ended March 31, 2026 as compared to the three months ended March 31, 2025. The decrease was primarily attributable to lower average cash balances throughout the first quarter of 2026 compared to the first quarter of 2025 as well as higher non-cash imputed interest expense related to the SIF Loan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on Fair Value of Earn-out Share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gain on fair value of earn-out share liabilities of $2.8 million was recorded for the three months ended March 31, 2026. This gain is related to a fair value adjustment from the valuation of our earn out share liability, which declined from March 26, 2026 (closing of the Reverse Recapitalization) to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remained relatively flat for the three months ended March 31, 2026 as compared to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106</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Quarterly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quarterly consolidated statements of operations data for each of the quarters indicated. The information for the quarters ended December 31, 2025 and December 31, 2024 has been derived from our audited annual consolidated financial statements. The information for each of the quarters has been prepared on an unaudited basis consistent with our audited annual consolidated financial statements and, in our opinion, includes all normal recurring adjustments necessary for the fair statement of the financial information contained in those statements. The following quarterly financial data should be read in conjunction with our annual consolidated financial statements and the related notes. These quarterly results are not necessarily indicative of our operating results for a full year or any future period.</w:t>
      </w:r>
    </w:p>
    <w:p>
      <w:pPr>
        <w:pStyle w:val="TextBody"/>
        <w:bidi w:val="0"/>
        <w:spacing w:before="0" w:after="0"/>
        <w:ind w:left="0" w:right="0" w:firstLine="360"/>
        <w:jc w:val="both"/>
        <w:rPr>
          <w:caps w:val="false"/>
          <w:smallCaps w:val="false"/>
        </w:rPr>
      </w:pPr>
      <w:r>
        <w:rPr>
          <w:caps w:val="false"/>
          <w:smallCaps w:val="false"/>
        </w:rPr>
        <w:t> </w:t>
      </w:r>
    </w:p>
    <w:tbl>
      <w:tblPr>
        <w:tblW w:w="12035" w:type="dxa"/>
        <w:jc w:val="left"/>
        <w:tblInd w:w="0" w:type="dxa"/>
        <w:tblLayout w:type="fixed"/>
        <w:tblCellMar>
          <w:top w:w="0" w:type="dxa"/>
          <w:left w:w="0" w:type="dxa"/>
          <w:bottom w:w="0" w:type="dxa"/>
          <w:right w:w="0" w:type="dxa"/>
        </w:tblCellMar>
      </w:tblPr>
      <w:tblGrid>
        <w:gridCol w:w="1070"/>
        <w:gridCol w:w="60"/>
        <w:gridCol w:w="167"/>
        <w:gridCol w:w="903"/>
        <w:gridCol w:w="95"/>
        <w:gridCol w:w="60"/>
        <w:gridCol w:w="221"/>
        <w:gridCol w:w="1194"/>
        <w:gridCol w:w="95"/>
        <w:gridCol w:w="60"/>
        <w:gridCol w:w="230"/>
        <w:gridCol w:w="1245"/>
        <w:gridCol w:w="95"/>
        <w:gridCol w:w="60"/>
        <w:gridCol w:w="140"/>
        <w:gridCol w:w="755"/>
        <w:gridCol w:w="95"/>
        <w:gridCol w:w="60"/>
        <w:gridCol w:w="167"/>
        <w:gridCol w:w="903"/>
        <w:gridCol w:w="95"/>
        <w:gridCol w:w="60"/>
        <w:gridCol w:w="221"/>
        <w:gridCol w:w="1194"/>
        <w:gridCol w:w="95"/>
        <w:gridCol w:w="60"/>
        <w:gridCol w:w="230"/>
        <w:gridCol w:w="1245"/>
        <w:gridCol w:w="95"/>
        <w:gridCol w:w="60"/>
        <w:gridCol w:w="140"/>
        <w:gridCol w:w="755"/>
        <w:gridCol w:w="110"/>
      </w:tblGrid>
      <w:tr>
        <w:trPr/>
        <w:tc>
          <w:tcPr>
            <w:tcW w:w="107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0795" w:type="dxa"/>
            <w:gridSpan w:val="30"/>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1070" w:type="dxa"/>
            <w:tcBorders>
              <w:bottom w:val="single" w:sz="12" w:space="0" w:color="000000"/>
            </w:tcBorders>
            <w:tcMar>
              <w:bottom w:w="28" w:type="dxa"/>
            </w:tcMar>
            <w:vAlign w:val="center"/>
          </w:tcPr>
          <w:p>
            <w:pPr>
              <w:pStyle w:val="TableContents"/>
              <w:bidi w:val="0"/>
              <w:spacing w:before="0" w:after="283"/>
              <w:jc w:val="left"/>
              <w:rPr>
                <w:b/>
              </w:rPr>
            </w:pPr>
            <w:r>
              <w:rPr>
                <w:b/>
              </w:rPr>
              <w:t>(In thousands except per share data)</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2024</w:t>
            </w:r>
          </w:p>
        </w:tc>
        <w:tc>
          <w:tcPr>
            <w:tcW w:w="110" w:type="dxa"/>
            <w:tcBorders/>
            <w:vAlign w:val="center"/>
          </w:tcPr>
          <w:p>
            <w:pPr>
              <w:pStyle w:val="TableContents"/>
              <w:bidi w:val="0"/>
              <w:spacing w:before="0" w:after="283"/>
              <w:ind w:left="0" w:right="0" w:hanging="180"/>
              <w:jc w:val="left"/>
              <w:rPr/>
            </w:pPr>
            <w:r>
              <w:rPr/>
              <w:t> </w:t>
            </w:r>
          </w:p>
        </w:tc>
      </w:tr>
      <w:tr>
        <w:trPr/>
        <w:tc>
          <w:tcPr>
            <w:tcW w:w="107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903" w:type="dxa"/>
            <w:tcBorders/>
            <w:shd w:fill="CCEEFF" w:val="clear"/>
            <w:vAlign w:val="center"/>
          </w:tcPr>
          <w:p>
            <w:pPr>
              <w:pStyle w:val="TableContents"/>
              <w:bidi w:val="0"/>
              <w:spacing w:before="0" w:after="283"/>
              <w:jc w:val="right"/>
              <w:rPr/>
            </w:pPr>
            <w:r>
              <w:rPr/>
              <w:t>2,832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1,875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5" w:type="dxa"/>
            <w:tcBorders/>
            <w:shd w:fill="CCEEFF" w:val="clear"/>
            <w:vAlign w:val="center"/>
          </w:tcPr>
          <w:p>
            <w:pPr>
              <w:pStyle w:val="TableContents"/>
              <w:bidi w:val="0"/>
              <w:spacing w:before="0" w:after="283"/>
              <w:jc w:val="right"/>
              <w:rPr/>
            </w:pPr>
            <w:r>
              <w:rPr/>
              <w:t>987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1,057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903" w:type="dxa"/>
            <w:tcBorders/>
            <w:shd w:fill="CCEEFF" w:val="clear"/>
            <w:vAlign w:val="center"/>
          </w:tcPr>
          <w:p>
            <w:pPr>
              <w:pStyle w:val="TableContents"/>
              <w:bidi w:val="0"/>
              <w:spacing w:before="0" w:after="283"/>
              <w:jc w:val="right"/>
              <w:rPr/>
            </w:pPr>
            <w:r>
              <w:rPr/>
              <w:t>699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711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5" w:type="dxa"/>
            <w:tcBorders/>
            <w:shd w:fill="CCEEFF" w:val="clear"/>
            <w:vAlign w:val="center"/>
          </w:tcPr>
          <w:p>
            <w:pPr>
              <w:pStyle w:val="TableContents"/>
              <w:bidi w:val="0"/>
              <w:spacing w:before="0" w:after="283"/>
              <w:jc w:val="right"/>
              <w:rPr/>
            </w:pPr>
            <w:r>
              <w:rPr/>
              <w:t>482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261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07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w:t>
            </w:r>
          </w:p>
        </w:tc>
        <w:tc>
          <w:tcPr>
            <w:tcW w:w="903" w:type="dxa"/>
            <w:tcBorders/>
            <w:shd w:fill="FFFFFF" w:val="clear"/>
            <w:vAlign w:val="center"/>
          </w:tcPr>
          <w:p>
            <w:pPr>
              <w:pStyle w:val="TableContents"/>
              <w:bidi w:val="0"/>
              <w:spacing w:before="0" w:after="283"/>
              <w:jc w:val="right"/>
              <w:rPr/>
            </w:pPr>
            <w:r>
              <w:rPr/>
              <w:t>(20,604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w:t>
            </w:r>
          </w:p>
        </w:tc>
        <w:tc>
          <w:tcPr>
            <w:tcW w:w="1194" w:type="dxa"/>
            <w:tcBorders/>
            <w:shd w:fill="FFFFFF" w:val="clear"/>
            <w:vAlign w:val="center"/>
          </w:tcPr>
          <w:p>
            <w:pPr>
              <w:pStyle w:val="TableContents"/>
              <w:bidi w:val="0"/>
              <w:spacing w:before="0" w:after="283"/>
              <w:jc w:val="right"/>
              <w:rPr/>
            </w:pPr>
            <w:r>
              <w:rPr/>
              <w:t>(23,024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w:t>
            </w:r>
          </w:p>
        </w:tc>
        <w:tc>
          <w:tcPr>
            <w:tcW w:w="1245" w:type="dxa"/>
            <w:tcBorders/>
            <w:shd w:fill="FFFFFF" w:val="clear"/>
            <w:vAlign w:val="center"/>
          </w:tcPr>
          <w:p>
            <w:pPr>
              <w:pStyle w:val="TableContents"/>
              <w:bidi w:val="0"/>
              <w:spacing w:before="0" w:after="283"/>
              <w:jc w:val="right"/>
              <w:rPr/>
            </w:pPr>
            <w:r>
              <w:rPr/>
              <w:t>(20,298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(15,140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w:t>
            </w:r>
          </w:p>
        </w:tc>
        <w:tc>
          <w:tcPr>
            <w:tcW w:w="903" w:type="dxa"/>
            <w:tcBorders/>
            <w:shd w:fill="FFFFFF" w:val="clear"/>
            <w:vAlign w:val="center"/>
          </w:tcPr>
          <w:p>
            <w:pPr>
              <w:pStyle w:val="TableContents"/>
              <w:bidi w:val="0"/>
              <w:spacing w:before="0" w:after="283"/>
              <w:jc w:val="right"/>
              <w:rPr/>
            </w:pPr>
            <w:r>
              <w:rPr/>
              <w:t>(12,205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w:t>
            </w:r>
          </w:p>
        </w:tc>
        <w:tc>
          <w:tcPr>
            <w:tcW w:w="1194" w:type="dxa"/>
            <w:tcBorders/>
            <w:shd w:fill="FFFFFF" w:val="clear"/>
            <w:vAlign w:val="center"/>
          </w:tcPr>
          <w:p>
            <w:pPr>
              <w:pStyle w:val="TableContents"/>
              <w:bidi w:val="0"/>
              <w:spacing w:before="0" w:after="283"/>
              <w:jc w:val="right"/>
              <w:rPr/>
            </w:pPr>
            <w:r>
              <w:rPr/>
              <w:t>(10,850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w:t>
            </w:r>
          </w:p>
        </w:tc>
        <w:tc>
          <w:tcPr>
            <w:tcW w:w="1245" w:type="dxa"/>
            <w:tcBorders/>
            <w:shd w:fill="FFFFFF" w:val="clear"/>
            <w:vAlign w:val="center"/>
          </w:tcPr>
          <w:p>
            <w:pPr>
              <w:pStyle w:val="TableContents"/>
              <w:bidi w:val="0"/>
              <w:spacing w:before="0" w:after="283"/>
              <w:jc w:val="right"/>
              <w:rPr/>
            </w:pPr>
            <w:r>
              <w:rPr/>
              <w:t>(10,436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(12,932</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1070" w:type="dxa"/>
            <w:tcBorders/>
            <w:shd w:fill="CCEEFF" w:val="clear"/>
            <w:vAlign w:val="center"/>
          </w:tcPr>
          <w:p>
            <w:pPr>
              <w:pStyle w:val="TableContents"/>
              <w:bidi w:val="0"/>
              <w:spacing w:before="0" w:after="283"/>
              <w:jc w:val="left"/>
              <w:rPr/>
            </w:pPr>
            <w:r>
              <w:rPr/>
              <w:t>Loss per share, basic and diluted</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903" w:type="dxa"/>
            <w:tcBorders/>
            <w:shd w:fill="CCEEFF" w:val="clear"/>
            <w:vAlign w:val="center"/>
          </w:tcPr>
          <w:p>
            <w:pPr>
              <w:pStyle w:val="TableContents"/>
              <w:bidi w:val="0"/>
              <w:spacing w:before="0" w:after="283"/>
              <w:jc w:val="right"/>
              <w:rPr/>
            </w:pPr>
            <w:r>
              <w:rPr/>
              <w:t>(0.28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(0.41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5" w:type="dxa"/>
            <w:tcBorders/>
            <w:shd w:fill="CCEEFF" w:val="clear"/>
            <w:vAlign w:val="center"/>
          </w:tcPr>
          <w:p>
            <w:pPr>
              <w:pStyle w:val="TableContents"/>
              <w:bidi w:val="0"/>
              <w:spacing w:before="0" w:after="283"/>
              <w:jc w:val="right"/>
              <w:rPr/>
            </w:pPr>
            <w:r>
              <w:rPr/>
              <w:t>(0.36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(0.27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903" w:type="dxa"/>
            <w:tcBorders/>
            <w:shd w:fill="CCEEFF" w:val="clear"/>
            <w:vAlign w:val="center"/>
          </w:tcPr>
          <w:p>
            <w:pPr>
              <w:pStyle w:val="TableContents"/>
              <w:bidi w:val="0"/>
              <w:spacing w:before="0" w:after="283"/>
              <w:jc w:val="right"/>
              <w:rPr/>
            </w:pPr>
            <w:r>
              <w:rPr/>
              <w:t>(0.22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(0.19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5" w:type="dxa"/>
            <w:tcBorders/>
            <w:shd w:fill="CCEEFF" w:val="clear"/>
            <w:vAlign w:val="center"/>
          </w:tcPr>
          <w:p>
            <w:pPr>
              <w:pStyle w:val="TableContents"/>
              <w:bidi w:val="0"/>
              <w:spacing w:before="0" w:after="283"/>
              <w:jc w:val="right"/>
              <w:rPr/>
            </w:pPr>
            <w:r>
              <w:rPr/>
              <w:t>(0.19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(0.23</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Quarterly Trends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trend is reflective of our pre-commercial state. Given that we are focused on the longer-term value proposition of utility scale quantum computers, our short-term revenue is generated from strategic revenue arrangements with customers with whom we can co-develop quantum algorithms, validate commercial use cases, and ensure that our technology is aligned with real-world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has generally demonstrated an upward trend over the previous eight fiscal quarters as well as on a year-over-year basis as we accelerate our R&amp;D efforts towards utility scale quantum computing. The increase in net loss is attributable to increases in operating expenses primarily for R&amp;D as we accelerate and upsize our wafer runs and expand our internal capabilities to process them along with continued development of the remainder of our software and hardware capabilities. We have also had increases in general and administrative and sales and marketing expense due to the Reverse Recapitalization and public offerings. Depreciation and amortization also contributed to the increase in operating expenses. These are partially offset by smaller increases in revenue and decreases in other income,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Quarter ended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increased for the quarter ended March 31, 2026, primarily driven by our inclusion in the U.S. Defense Advanced Research Projects Agency led program assessing and validating quantum computing system performance against standardized metrics (the “DARPA QBI” program). Operating expenses increased reflecting higher R&amp;D spend as well as general and administrative spend related to our Reverse Recapitalization and stock exchange listings.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Results and Reconciliation of Non-GAAP Financial Measure Adjusted EBITDA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our historical consolidated financial statements which are prepared and presented in accordance with U.S. GAAP, we use Adjusted EBITDA, as described below, to understand and evaluate our financial and operating performance. We define Adjusted EBITDA as net loss before interest expense, income tax expense (benefit), depreciation and amortization expense, stock- based compensation, change in fair value of financial instruments and other non-recurring income and expenses. We use Adjusted EBITDA to measure the operating performance of our business, excluding specifically identified items that we do not believe directly reflect our core operations and may not be indicative of our recurring operations. By excluding certain items that are nonrecurring or not reflective of the performance of our normal course of business, we believe that Adjusted EBITDA provides meaningful supplemental information regarding our performance. Accordingly, we believe that Adjusted EBITDA is useful to investors and others because it allows investors to supplement their understanding of our financial trends and evaluate our ongoing and future performance in the same manner as management. However, there are several limitations related to the use of Adjusted EBITDA as it reflects the exercise of judgment by our management about which expenses are excluded or included. Adjusted EBITDA should be considered in addition to, not as a substitute for or in isolation from, our financial results prepared in accordance with GAAP. In addition, our presentation of Adjusted EBITDA may be different from how such metric is used by other companies. The following charts provide unaudited reconciliations of U.S. GAAP-based financial measures to Adjusted EBITDA for the following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107</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Reconciliation of net loss to Non-GAAP Financial Measure Adjusted EBITDA for the three months ended March 31, 2026 and 2025:</w:t>
      </w:r>
    </w:p>
    <w:p>
      <w:pPr>
        <w:pStyle w:val="TextBody"/>
        <w:bidi w:val="0"/>
        <w:spacing w:before="0" w:after="0"/>
        <w:ind w:left="0" w:right="0" w:hanging="0"/>
        <w:jc w:val="left"/>
        <w:rPr/>
      </w:pPr>
      <w:r>
        <w:rPr>
          <w:caps w:val="false"/>
          <w:smallCaps w:val="false"/>
        </w:rPr>
        <w:t> </w:t>
      </w:r>
      <w:r>
        <w:rPr/>
        <w:t xml:space="preserve"> </w:t>
      </w:r>
    </w:p>
    <w:tbl>
      <w:tblPr>
        <w:tblW w:w="6882" w:type="dxa"/>
        <w:jc w:val="left"/>
        <w:tblInd w:w="0" w:type="dxa"/>
        <w:tblLayout w:type="fixed"/>
        <w:tblCellMar>
          <w:top w:w="0" w:type="dxa"/>
          <w:left w:w="0" w:type="dxa"/>
          <w:bottom w:w="0" w:type="dxa"/>
          <w:right w:w="0" w:type="dxa"/>
        </w:tblCellMar>
      </w:tblPr>
      <w:tblGrid>
        <w:gridCol w:w="4505"/>
        <w:gridCol w:w="60"/>
        <w:gridCol w:w="159"/>
        <w:gridCol w:w="857"/>
        <w:gridCol w:w="107"/>
        <w:gridCol w:w="68"/>
        <w:gridCol w:w="159"/>
        <w:gridCol w:w="857"/>
        <w:gridCol w:w="110"/>
      </w:tblGrid>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110" w:type="dxa"/>
            <w:tcBorders/>
            <w:vAlign w:val="center"/>
          </w:tcPr>
          <w:p>
            <w:pPr>
              <w:pStyle w:val="TableContents"/>
              <w:bidi w:val="0"/>
              <w:spacing w:before="0" w:after="283"/>
              <w:jc w:val="left"/>
              <w:rPr/>
            </w:pPr>
            <w:r>
              <w:rPr/>
              <w:t> </w:t>
            </w:r>
          </w:p>
        </w:tc>
      </w:tr>
      <w:tr>
        <w:trPr/>
        <w:tc>
          <w:tcPr>
            <w:tcW w:w="4505" w:type="dxa"/>
            <w:tcBorders>
              <w:bottom w:val="single" w:sz="12" w:space="0" w:color="000000"/>
            </w:tcBorders>
            <w:tcMar>
              <w:bottom w:w="28" w:type="dxa"/>
            </w:tcMar>
            <w:vAlign w:val="center"/>
          </w:tcPr>
          <w:p>
            <w:pPr>
              <w:pStyle w:val="TableContents"/>
              <w:bidi w:val="0"/>
              <w:spacing w:before="0" w:after="283"/>
              <w:jc w:val="left"/>
              <w:rPr>
                <w:b/>
              </w:rPr>
            </w:pPr>
            <w:r>
              <w:rPr>
                <w:b/>
              </w:rPr>
              <w:t>(US$ in thousands)</w:t>
            </w:r>
          </w:p>
        </w:tc>
        <w:tc>
          <w:tcPr>
            <w:tcW w:w="60" w:type="dxa"/>
            <w:tcBorders/>
            <w:vAlign w:val="center"/>
          </w:tcPr>
          <w:p>
            <w:pPr>
              <w:pStyle w:val="TableContents"/>
              <w:bidi w:val="0"/>
              <w:spacing w:before="0" w:after="283"/>
              <w:jc w:val="left"/>
              <w:rPr/>
            </w:pPr>
            <w:r>
              <w:rPr/>
              <w:t> </w:t>
            </w:r>
          </w:p>
        </w:tc>
        <w:tc>
          <w:tcPr>
            <w:tcW w:w="10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7"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0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159" w:type="dxa"/>
            <w:tcBorders/>
            <w:shd w:fill="CCEEFF" w:val="clear"/>
            <w:vAlign w:val="center"/>
          </w:tcPr>
          <w:p>
            <w:pPr>
              <w:pStyle w:val="TableContents"/>
              <w:bidi w:val="0"/>
              <w:spacing w:before="0" w:after="283"/>
              <w:jc w:val="left"/>
              <w:rPr>
                <w:b/>
                <w:color w:val="231F20"/>
              </w:rPr>
            </w:pPr>
            <w:r>
              <w:rPr>
                <w:b/>
                <w:color w:val="231F20"/>
              </w:rPr>
              <w:t>$</w:t>
            </w:r>
          </w:p>
        </w:tc>
        <w:tc>
          <w:tcPr>
            <w:tcW w:w="857" w:type="dxa"/>
            <w:tcBorders/>
            <w:shd w:fill="CCEEFF" w:val="clear"/>
            <w:vAlign w:val="center"/>
          </w:tcPr>
          <w:p>
            <w:pPr>
              <w:pStyle w:val="TableContents"/>
              <w:bidi w:val="0"/>
              <w:spacing w:before="0" w:after="283"/>
              <w:jc w:val="right"/>
              <w:rPr>
                <w:b/>
                <w:color w:val="231F20"/>
              </w:rPr>
            </w:pPr>
            <w:r>
              <w:rPr>
                <w:b/>
                <w:color w:val="231F20"/>
              </w:rPr>
              <w:t>(20,604</w:t>
            </w:r>
          </w:p>
        </w:tc>
        <w:tc>
          <w:tcPr>
            <w:tcW w:w="107" w:type="dxa"/>
            <w:tcBorders/>
            <w:shd w:fill="CCEEFF" w:val="clear"/>
            <w:vAlign w:val="center"/>
          </w:tcPr>
          <w:p>
            <w:pPr>
              <w:pStyle w:val="TableContents"/>
              <w:bidi w:val="0"/>
              <w:spacing w:before="0" w:after="283"/>
              <w:jc w:val="left"/>
              <w:rPr>
                <w:b/>
                <w:color w:val="231F20"/>
              </w:rPr>
            </w:pPr>
            <w:r>
              <w:rPr>
                <w:b/>
                <w:color w:val="231F20"/>
              </w:rPr>
              <w:t>)</w:t>
            </w:r>
          </w:p>
        </w:tc>
        <w:tc>
          <w:tcPr>
            <w:tcW w:w="68" w:type="dxa"/>
            <w:tcBorders/>
            <w:shd w:fill="CCEEFF" w:val="clear"/>
            <w:vAlign w:val="center"/>
          </w:tcPr>
          <w:p>
            <w:pPr>
              <w:pStyle w:val="TableContents"/>
              <w:bidi w:val="0"/>
              <w:spacing w:before="0" w:after="283"/>
              <w:jc w:val="left"/>
              <w:rPr>
                <w:color w:val="231F20"/>
              </w:rPr>
            </w:pPr>
            <w:r>
              <w:rPr>
                <w:color w:val="231F20"/>
              </w:rPr>
              <w:t> </w:t>
            </w:r>
          </w:p>
        </w:tc>
        <w:tc>
          <w:tcPr>
            <w:tcW w:w="159" w:type="dxa"/>
            <w:tcBorders/>
            <w:shd w:fill="CCEEFF" w:val="clear"/>
            <w:vAlign w:val="center"/>
          </w:tcPr>
          <w:p>
            <w:pPr>
              <w:pStyle w:val="TableContents"/>
              <w:bidi w:val="0"/>
              <w:spacing w:before="0" w:after="283"/>
              <w:jc w:val="left"/>
              <w:rPr>
                <w:b/>
                <w:color w:val="231F20"/>
              </w:rPr>
            </w:pPr>
            <w:r>
              <w:rPr>
                <w:b/>
                <w:color w:val="231F20"/>
              </w:rPr>
              <w:t>$</w:t>
            </w:r>
          </w:p>
        </w:tc>
        <w:tc>
          <w:tcPr>
            <w:tcW w:w="857" w:type="dxa"/>
            <w:tcBorders/>
            <w:shd w:fill="CCEEFF" w:val="clear"/>
            <w:vAlign w:val="center"/>
          </w:tcPr>
          <w:p>
            <w:pPr>
              <w:pStyle w:val="TableContents"/>
              <w:bidi w:val="0"/>
              <w:spacing w:before="0" w:after="283"/>
              <w:jc w:val="right"/>
              <w:rPr>
                <w:b/>
                <w:color w:val="231F20"/>
              </w:rPr>
            </w:pPr>
            <w:r>
              <w:rPr>
                <w:b/>
                <w:color w:val="231F20"/>
              </w:rPr>
              <w:t>(12,205</w:t>
            </w:r>
          </w:p>
        </w:tc>
        <w:tc>
          <w:tcPr>
            <w:tcW w:w="110" w:type="dxa"/>
            <w:tcBorders/>
            <w:shd w:fill="CCEEFF" w:val="clear"/>
            <w:vAlign w:val="center"/>
          </w:tcPr>
          <w:p>
            <w:pPr>
              <w:pStyle w:val="TableContents"/>
              <w:bidi w:val="0"/>
              <w:spacing w:before="0" w:after="283"/>
              <w:jc w:val="left"/>
              <w:rPr>
                <w:b/>
                <w:color w:val="231F20"/>
              </w:rPr>
            </w:pPr>
            <w:r>
              <w:rPr>
                <w:b/>
                <w:color w:val="231F20"/>
              </w:rPr>
              <w:t>)</w:t>
            </w:r>
          </w:p>
        </w:tc>
      </w:tr>
      <w:tr>
        <w:trPr/>
        <w:tc>
          <w:tcPr>
            <w:tcW w:w="4505" w:type="dxa"/>
            <w:tcBorders/>
            <w:shd w:fill="FFFFFF" w:val="clear"/>
            <w:vAlign w:val="center"/>
          </w:tcPr>
          <w:p>
            <w:pPr>
              <w:pStyle w:val="TableContents"/>
              <w:bidi w:val="0"/>
              <w:spacing w:before="0" w:after="283"/>
              <w:jc w:val="left"/>
              <w:rPr/>
            </w:pPr>
            <w:r>
              <w:rPr/>
              <w:t>Excluding:</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159" w:type="dxa"/>
            <w:tcBorders/>
            <w:shd w:fill="CCEEFF" w:val="clear"/>
            <w:vAlign w:val="center"/>
          </w:tcPr>
          <w:p>
            <w:pPr>
              <w:pStyle w:val="TableContents"/>
              <w:bidi w:val="0"/>
              <w:spacing w:before="0" w:after="283"/>
              <w:jc w:val="left"/>
              <w:rPr>
                <w:color w:val="231F20"/>
              </w:rPr>
            </w:pPr>
            <w:r>
              <w:rPr>
                <w:color w:val="231F20"/>
              </w:rPr>
              <w:t> </w:t>
            </w:r>
          </w:p>
        </w:tc>
        <w:tc>
          <w:tcPr>
            <w:tcW w:w="857" w:type="dxa"/>
            <w:tcBorders/>
            <w:shd w:fill="CCEEFF" w:val="clear"/>
            <w:vAlign w:val="center"/>
          </w:tcPr>
          <w:p>
            <w:pPr>
              <w:pStyle w:val="TableContents"/>
              <w:bidi w:val="0"/>
              <w:spacing w:before="0" w:after="283"/>
              <w:jc w:val="right"/>
              <w:rPr>
                <w:color w:val="231F20"/>
              </w:rPr>
            </w:pPr>
            <w:r>
              <w:rPr>
                <w:color w:val="231F20"/>
              </w:rPr>
              <w:t>1,617</w:t>
            </w:r>
          </w:p>
        </w:tc>
        <w:tc>
          <w:tcPr>
            <w:tcW w:w="107" w:type="dxa"/>
            <w:tcBorders/>
            <w:shd w:fill="CCEEFF" w:val="clear"/>
            <w:vAlign w:val="center"/>
          </w:tcPr>
          <w:p>
            <w:pPr>
              <w:pStyle w:val="TableContents"/>
              <w:bidi w:val="0"/>
              <w:spacing w:before="0" w:after="283"/>
              <w:jc w:val="left"/>
              <w:rPr>
                <w:color w:val="231F20"/>
              </w:rPr>
            </w:pPr>
            <w:r>
              <w:rPr>
                <w:color w:val="231F20"/>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1,277</w:t>
            </w:r>
          </w:p>
        </w:tc>
        <w:tc>
          <w:tcPr>
            <w:tcW w:w="11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1,408</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811</w:t>
            </w:r>
          </w:p>
        </w:tc>
        <w:tc>
          <w:tcPr>
            <w:tcW w:w="11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 xml:space="preserve">Change in fair value of financial instruments </w:t>
            </w:r>
            <w:r>
              <w:rPr>
                <w:position w:val="8"/>
                <w:sz w:val="19"/>
              </w:rPr>
              <w:t>(1)</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159" w:type="dxa"/>
            <w:tcBorders/>
            <w:shd w:fill="CCEEFF" w:val="clear"/>
            <w:vAlign w:val="center"/>
          </w:tcPr>
          <w:p>
            <w:pPr>
              <w:pStyle w:val="TableContents"/>
              <w:bidi w:val="0"/>
              <w:spacing w:before="0" w:after="283"/>
              <w:jc w:val="left"/>
              <w:rPr>
                <w:color w:val="231F20"/>
              </w:rPr>
            </w:pPr>
            <w:r>
              <w:rPr>
                <w:color w:val="231F20"/>
              </w:rPr>
              <w:t> </w:t>
            </w:r>
          </w:p>
        </w:tc>
        <w:tc>
          <w:tcPr>
            <w:tcW w:w="857" w:type="dxa"/>
            <w:tcBorders/>
            <w:shd w:fill="CCEEFF" w:val="clear"/>
            <w:vAlign w:val="center"/>
          </w:tcPr>
          <w:p>
            <w:pPr>
              <w:pStyle w:val="TableContents"/>
              <w:bidi w:val="0"/>
              <w:spacing w:before="0" w:after="283"/>
              <w:jc w:val="right"/>
              <w:rPr>
                <w:color w:val="231F20"/>
              </w:rPr>
            </w:pPr>
            <w:r>
              <w:rPr>
                <w:color w:val="231F20"/>
              </w:rPr>
              <w:t>(1,938</w:t>
            </w:r>
          </w:p>
        </w:tc>
        <w:tc>
          <w:tcPr>
            <w:tcW w:w="107" w:type="dxa"/>
            <w:tcBorders/>
            <w:shd w:fill="CCEEFF" w:val="clear"/>
            <w:vAlign w:val="center"/>
          </w:tcPr>
          <w:p>
            <w:pPr>
              <w:pStyle w:val="TableContents"/>
              <w:bidi w:val="0"/>
              <w:spacing w:before="0" w:after="283"/>
              <w:jc w:val="left"/>
              <w:rPr>
                <w:color w:val="231F20"/>
              </w:rPr>
            </w:pPr>
            <w:r>
              <w:rPr>
                <w:color w:val="231F20"/>
              </w:rPr>
              <w:t>)</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6</w:t>
            </w:r>
          </w:p>
        </w:tc>
        <w:tc>
          <w:tcPr>
            <w:tcW w:w="11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pPr>
            <w:r>
              <w:rPr/>
              <w:t xml:space="preserve">Interest (income) expense, net </w:t>
            </w:r>
            <w:r>
              <w:rPr>
                <w:position w:val="8"/>
                <w:sz w:val="19"/>
              </w:rPr>
              <w:t>(2)</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159" w:type="dxa"/>
            <w:tcBorders/>
            <w:shd w:fill="FFFFFF" w:val="clear"/>
            <w:vAlign w:val="center"/>
          </w:tcPr>
          <w:p>
            <w:pPr>
              <w:pStyle w:val="TableContents"/>
              <w:bidi w:val="0"/>
              <w:spacing w:before="0" w:after="283"/>
              <w:jc w:val="left"/>
              <w:rPr>
                <w:color w:val="231F20"/>
              </w:rPr>
            </w:pPr>
            <w:r>
              <w:rPr>
                <w:color w:val="231F20"/>
              </w:rPr>
              <w:t> </w:t>
            </w:r>
          </w:p>
        </w:tc>
        <w:tc>
          <w:tcPr>
            <w:tcW w:w="857" w:type="dxa"/>
            <w:tcBorders/>
            <w:shd w:fill="FFFFFF" w:val="clear"/>
            <w:vAlign w:val="center"/>
          </w:tcPr>
          <w:p>
            <w:pPr>
              <w:pStyle w:val="TableContents"/>
              <w:bidi w:val="0"/>
              <w:spacing w:before="0" w:after="283"/>
              <w:jc w:val="right"/>
              <w:rPr>
                <w:color w:val="231F20"/>
              </w:rPr>
            </w:pPr>
            <w:r>
              <w:rPr>
                <w:color w:val="231F20"/>
              </w:rPr>
              <w:t>190</w:t>
            </w:r>
          </w:p>
        </w:tc>
        <w:tc>
          <w:tcPr>
            <w:tcW w:w="107" w:type="dxa"/>
            <w:tcBorders/>
            <w:shd w:fill="FFFFFF" w:val="clear"/>
            <w:vAlign w:val="center"/>
          </w:tcPr>
          <w:p>
            <w:pPr>
              <w:pStyle w:val="TableContents"/>
              <w:bidi w:val="0"/>
              <w:spacing w:before="0" w:after="283"/>
              <w:jc w:val="left"/>
              <w:rPr>
                <w:color w:val="231F20"/>
              </w:rPr>
            </w:pPr>
            <w:r>
              <w:rPr>
                <w:color w:val="231F20"/>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(553</w:t>
            </w:r>
          </w:p>
        </w:tc>
        <w:tc>
          <w:tcPr>
            <w:tcW w:w="110" w:type="dxa"/>
            <w:tcBorders/>
            <w:shd w:fill="FFFFFF" w:val="clear"/>
            <w:vAlign w:val="center"/>
          </w:tcPr>
          <w:p>
            <w:pPr>
              <w:pStyle w:val="TableContents"/>
              <w:bidi w:val="0"/>
              <w:spacing w:before="0" w:after="283"/>
              <w:jc w:val="left"/>
              <w:rPr/>
            </w:pPr>
            <w:r>
              <w:rPr/>
              <w:t>)</w:t>
            </w:r>
          </w:p>
        </w:tc>
      </w:tr>
      <w:tr>
        <w:trPr/>
        <w:tc>
          <w:tcPr>
            <w:tcW w:w="4505" w:type="dxa"/>
            <w:tcBorders/>
            <w:shd w:fill="CCEEFF" w:val="clear"/>
            <w:vAlign w:val="center"/>
          </w:tcPr>
          <w:p>
            <w:pPr>
              <w:pStyle w:val="TableContents"/>
              <w:bidi w:val="0"/>
              <w:spacing w:before="0" w:after="283"/>
              <w:jc w:val="left"/>
              <w:rPr/>
            </w:pPr>
            <w:r>
              <w:rPr/>
              <w:t xml:space="preserve">Other (income), net </w:t>
            </w:r>
            <w:r>
              <w:rPr>
                <w:position w:val="8"/>
                <w:sz w:val="19"/>
              </w:rPr>
              <w:t>(3)</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159" w:type="dxa"/>
            <w:tcBorders/>
            <w:shd w:fill="CCEEFF" w:val="clear"/>
            <w:vAlign w:val="center"/>
          </w:tcPr>
          <w:p>
            <w:pPr>
              <w:pStyle w:val="TableContents"/>
              <w:bidi w:val="0"/>
              <w:spacing w:before="0" w:after="283"/>
              <w:jc w:val="left"/>
              <w:rPr>
                <w:color w:val="231F20"/>
              </w:rPr>
            </w:pPr>
            <w:r>
              <w:rPr>
                <w:color w:val="231F20"/>
              </w:rPr>
              <w:t> </w:t>
            </w:r>
          </w:p>
        </w:tc>
        <w:tc>
          <w:tcPr>
            <w:tcW w:w="857" w:type="dxa"/>
            <w:tcBorders/>
            <w:shd w:fill="CCEEFF" w:val="clear"/>
            <w:vAlign w:val="center"/>
          </w:tcPr>
          <w:p>
            <w:pPr>
              <w:pStyle w:val="TableContents"/>
              <w:bidi w:val="0"/>
              <w:spacing w:before="0" w:after="283"/>
              <w:jc w:val="right"/>
              <w:rPr>
                <w:color w:val="231F20"/>
              </w:rPr>
            </w:pPr>
            <w:r>
              <w:rPr>
                <w:color w:val="231F20"/>
              </w:rPr>
              <w:t>(20</w:t>
            </w:r>
          </w:p>
        </w:tc>
        <w:tc>
          <w:tcPr>
            <w:tcW w:w="107" w:type="dxa"/>
            <w:tcBorders/>
            <w:shd w:fill="CCEEFF" w:val="clear"/>
            <w:vAlign w:val="center"/>
          </w:tcPr>
          <w:p>
            <w:pPr>
              <w:pStyle w:val="TableContents"/>
              <w:bidi w:val="0"/>
              <w:spacing w:before="0" w:after="283"/>
              <w:jc w:val="left"/>
              <w:rPr>
                <w:color w:val="231F20"/>
              </w:rPr>
            </w:pPr>
            <w:r>
              <w:rPr>
                <w:color w:val="231F20"/>
              </w:rPr>
              <w:t>)</w:t>
            </w:r>
          </w:p>
        </w:tc>
        <w:tc>
          <w:tcPr>
            <w:tcW w:w="68" w:type="dxa"/>
            <w:tcBorders/>
            <w:shd w:fill="CCEEFF" w:val="clear"/>
            <w:vAlign w:val="center"/>
          </w:tcPr>
          <w:p>
            <w:pPr>
              <w:pStyle w:val="TableContents"/>
              <w:bidi w:val="0"/>
              <w:spacing w:before="0" w:after="283"/>
              <w:jc w:val="left"/>
              <w:rPr>
                <w:color w:val="231F20"/>
              </w:rPr>
            </w:pPr>
            <w:r>
              <w:rPr>
                <w:color w:val="231F20"/>
              </w:rPr>
              <w:t> </w:t>
            </w:r>
          </w:p>
        </w:tc>
        <w:tc>
          <w:tcPr>
            <w:tcW w:w="159" w:type="dxa"/>
            <w:tcBorders/>
            <w:shd w:fill="CCEEFF" w:val="clear"/>
            <w:vAlign w:val="center"/>
          </w:tcPr>
          <w:p>
            <w:pPr>
              <w:pStyle w:val="TableContents"/>
              <w:bidi w:val="0"/>
              <w:spacing w:before="0" w:after="283"/>
              <w:jc w:val="left"/>
              <w:rPr>
                <w:color w:val="231F20"/>
              </w:rPr>
            </w:pPr>
            <w:r>
              <w:rPr>
                <w:color w:val="231F20"/>
              </w:rPr>
              <w:t> </w:t>
            </w:r>
          </w:p>
        </w:tc>
        <w:tc>
          <w:tcPr>
            <w:tcW w:w="857" w:type="dxa"/>
            <w:tcBorders/>
            <w:shd w:fill="CCEEFF" w:val="clear"/>
            <w:vAlign w:val="center"/>
          </w:tcPr>
          <w:p>
            <w:pPr>
              <w:pStyle w:val="TableContents"/>
              <w:bidi w:val="0"/>
              <w:spacing w:before="0" w:after="283"/>
              <w:jc w:val="right"/>
              <w:rPr>
                <w:color w:val="231F20"/>
              </w:rPr>
            </w:pPr>
            <w:r>
              <w:rPr>
                <w:color w:val="231F20"/>
              </w:rPr>
              <w:t>(7</w:t>
            </w:r>
          </w:p>
        </w:tc>
        <w:tc>
          <w:tcPr>
            <w:tcW w:w="110" w:type="dxa"/>
            <w:tcBorders/>
            <w:shd w:fill="CCEEFF" w:val="clear"/>
            <w:vAlign w:val="center"/>
          </w:tcPr>
          <w:p>
            <w:pPr>
              <w:pStyle w:val="TableContents"/>
              <w:bidi w:val="0"/>
              <w:spacing w:before="0" w:after="283"/>
              <w:jc w:val="left"/>
              <w:rPr>
                <w:color w:val="231F20"/>
              </w:rPr>
            </w:pPr>
            <w:r>
              <w:rPr>
                <w:color w:val="231F20"/>
              </w:rPr>
              <w:t>)</w:t>
            </w:r>
          </w:p>
        </w:tc>
      </w:tr>
      <w:tr>
        <w:trPr/>
        <w:tc>
          <w:tcPr>
            <w:tcW w:w="4505" w:type="dxa"/>
            <w:tcBorders/>
            <w:shd w:fill="FFFFFF" w:val="clear"/>
            <w:vAlign w:val="center"/>
          </w:tcPr>
          <w:p>
            <w:pPr>
              <w:pStyle w:val="TableContents"/>
              <w:bidi w:val="0"/>
              <w:spacing w:before="0" w:after="283"/>
              <w:jc w:val="left"/>
              <w:rPr/>
            </w:pPr>
            <w:r>
              <w:rPr/>
              <w:t xml:space="preserve">Non-recurring expenses </w:t>
            </w:r>
            <w:r>
              <w:rPr>
                <w:position w:val="8"/>
                <w:sz w:val="19"/>
              </w:rPr>
              <w:t>(4)</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FFFFFF" w:val="clear"/>
            <w:tcMar>
              <w:bottom w:w="28" w:type="dxa"/>
            </w:tcMar>
            <w:vAlign w:val="center"/>
          </w:tcPr>
          <w:p>
            <w:pPr>
              <w:pStyle w:val="TableContents"/>
              <w:bidi w:val="0"/>
              <w:spacing w:before="0" w:after="283"/>
              <w:jc w:val="right"/>
              <w:rPr/>
            </w:pPr>
            <w:r>
              <w:rPr/>
              <w:t>5,465</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FFFFFF" w:val="clear"/>
            <w:tcMar>
              <w:bottom w:w="28" w:type="dxa"/>
            </w:tcMar>
            <w:vAlign w:val="center"/>
          </w:tcPr>
          <w:p>
            <w:pPr>
              <w:pStyle w:val="TableContents"/>
              <w:bidi w:val="0"/>
              <w:spacing w:before="0" w:after="283"/>
              <w:jc w:val="right"/>
              <w:rPr/>
            </w:pPr>
            <w:r>
              <w:rPr/>
              <w:t>28</w:t>
            </w:r>
          </w:p>
        </w:tc>
        <w:tc>
          <w:tcPr>
            <w:tcW w:w="11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Adjusted EBITDA</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5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(13,882</w:t>
            </w:r>
          </w:p>
        </w:tc>
        <w:tc>
          <w:tcPr>
            <w:tcW w:w="107" w:type="dxa"/>
            <w:tcBorders/>
            <w:shd w:fill="CCEEFF" w:val="clear"/>
            <w:vAlign w:val="center"/>
          </w:tcPr>
          <w:p>
            <w:pPr>
              <w:pStyle w:val="TableContents"/>
              <w:bidi w:val="0"/>
              <w:spacing w:before="0" w:after="283"/>
              <w:jc w:val="left"/>
              <w:rPr>
                <w:b/>
              </w:rPr>
            </w:pPr>
            <w:r>
              <w:rPr>
                <w:b/>
              </w:rPr>
              <w:t>)</w:t>
            </w:r>
          </w:p>
        </w:tc>
        <w:tc>
          <w:tcPr>
            <w:tcW w:w="68"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5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(10,643</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305"/>
        <w:gridCol w:w="7940"/>
      </w:tblGrid>
      <w:tr>
        <w:trPr/>
        <w:tc>
          <w:tcPr>
            <w:tcW w:w="305" w:type="dxa"/>
            <w:tcBorders/>
            <w:vAlign w:val="center"/>
          </w:tcPr>
          <w:p>
            <w:pPr>
              <w:pStyle w:val="TableContents"/>
              <w:bidi w:val="0"/>
              <w:spacing w:before="0" w:after="283"/>
              <w:jc w:val="left"/>
              <w:rPr/>
            </w:pPr>
            <w:r>
              <w:rPr/>
              <w:t>(1)</w:t>
            </w:r>
          </w:p>
        </w:tc>
        <w:tc>
          <w:tcPr>
            <w:tcW w:w="7940" w:type="dxa"/>
            <w:tcBorders/>
            <w:vAlign w:val="center"/>
          </w:tcPr>
          <w:p>
            <w:pPr>
              <w:pStyle w:val="TableContents"/>
              <w:bidi w:val="0"/>
              <w:spacing w:before="0" w:after="283"/>
              <w:jc w:val="both"/>
              <w:rPr/>
            </w:pPr>
            <w:r>
              <w:rPr/>
              <w:t>Includes the gain (loss) on the fair value of the warrant and earn-out share liabilities.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(2)</w:t>
            </w:r>
          </w:p>
        </w:tc>
        <w:tc>
          <w:tcPr>
            <w:tcW w:w="9921" w:type="dxa"/>
            <w:tcBorders/>
            <w:vAlign w:val="center"/>
          </w:tcPr>
          <w:p>
            <w:pPr>
              <w:pStyle w:val="TableContents"/>
              <w:bidi w:val="0"/>
              <w:spacing w:before="0" w:after="283"/>
              <w:jc w:val="both"/>
              <w:rPr/>
            </w:pPr>
            <w:r>
              <w:rPr/>
              <w:t>Interest (income) expense, net reflects the impact of interest earned on cash balances and non-cash interest expense relating to the SIF Loan.</w:t>
            </w:r>
          </w:p>
        </w:tc>
      </w:tr>
    </w:tbl>
    <w:p>
      <w:pPr>
        <w:pStyle w:val="TextBody"/>
        <w:bidi w:val="0"/>
        <w:spacing w:before="0" w:after="0"/>
        <w:ind w:left="360" w:right="0" w:hanging="360"/>
        <w:jc w:val="both"/>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305"/>
        <w:gridCol w:w="5570"/>
      </w:tblGrid>
      <w:tr>
        <w:trPr/>
        <w:tc>
          <w:tcPr>
            <w:tcW w:w="305" w:type="dxa"/>
            <w:tcBorders/>
            <w:vAlign w:val="center"/>
          </w:tcPr>
          <w:p>
            <w:pPr>
              <w:pStyle w:val="TableContents"/>
              <w:bidi w:val="0"/>
              <w:spacing w:before="0" w:after="283"/>
              <w:jc w:val="left"/>
              <w:rPr/>
            </w:pPr>
            <w:r>
              <w:rPr/>
              <w:t>(3)</w:t>
            </w:r>
          </w:p>
        </w:tc>
        <w:tc>
          <w:tcPr>
            <w:tcW w:w="5570" w:type="dxa"/>
            <w:tcBorders/>
            <w:vAlign w:val="center"/>
          </w:tcPr>
          <w:p>
            <w:pPr>
              <w:pStyle w:val="TableContents"/>
              <w:bidi w:val="0"/>
              <w:spacing w:before="0" w:after="283"/>
              <w:jc w:val="both"/>
              <w:rPr/>
            </w:pPr>
            <w:r>
              <w:rPr/>
              <w:t>Other income, net consists of foreign exchange gain (loss).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(4)</w:t>
            </w:r>
          </w:p>
        </w:tc>
        <w:tc>
          <w:tcPr>
            <w:tcW w:w="9939" w:type="dxa"/>
            <w:tcBorders/>
            <w:vAlign w:val="center"/>
          </w:tcPr>
          <w:p>
            <w:pPr>
              <w:pStyle w:val="TableContents"/>
              <w:bidi w:val="0"/>
              <w:spacing w:before="0" w:after="283"/>
              <w:jc w:val="both"/>
              <w:rPr/>
            </w:pPr>
            <w:r>
              <w:rPr/>
              <w:t>Non-recurring expenses include professional fees such as legal, consulting, and accounting fees incurred in connection with indirect costs related to the Reverse Recapitalization and public offerings.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Adjusted EBITDA loss has increased period-over-period by $3.2 million from $10.6 million for the quarter ended March 31, 2025, to $13.9 million for the quarter ended March 31, 2026. This trend reflects the acceleration of our core R&amp;D activities and strategic investments toward achieving utility-scale quantum computing. It also reflects higher ongoing general and administrative costs related to our Reverse Recapitalization and stock exchange listings. As we are in a pre-commercial phase with an ambitious technology roadmap, our Adjusted EBITDA loss is expected to continue to increase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the Company had cash and cash equivalents of $272.5 million and $16.2 million and net working capital of $270.2 million and $31.2 million, respectively. We anticipate that our long-term cash requirements and obligations will be met through a combination of operating cash flows, additional government funding, equity raises and additional indebtedness. This assessment is based on current internal forecasts and remains subject to changes in external and internal conditions. We have incurred recurring net losses and negative cash flows from operations since inception. As of March 31, 2026 and December 31, 2025, the Company had an accumulated deficit of $228.3 million and $206.3 million, respectively.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108</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we incurred net losses of $20.6 million and $12.2 million, and, the Company had net cash outflows from operating activities of $7.0 million and $16.3 million, respectively. We expect to incur additional operating losses and net operating cash outflows as we continue to expand our commercial operations and R&amp;D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uses of cash and cash equivalents are to support the ongoing growth of our business, including funding our operations and capital expenditures. As of March 31, 2026, our total contractual obligations amounted to $22.7 million. The largest component of these obligations were purchase obligations related to our operating expenses of $11.4 million, all of which is due in less than one year. These amounts are mainly related to R&amp;D expenses that will be paid to our strategic suppliers. The remaining obligations consist of our operating lease payments for our Toronto offices totaling $8.6 million and repayments of debt related to our Regional Quantum Initiative Contribution Agreement (the “FedDev Loan”), by and between Xanadu and His Majesty the King in Right of Canada as represented by the Minister of Federal Economic Development Agency for Southern Ontario totaling $2.7 million both payable over the next seven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cash resources are required to support our ongoing investments in R&amp;D, as well as the commercialization of our products. These cash outflows are predictable since we enter into contracts with our key suppliers that define costs at the outset. While the costs are significant, we do have the ability to scale our research operations up or down to the extent that our cash position allows. Conversely, our cash inflows are dependent on enterprise and government partners whose ability to enter into revenue arrangements with us may be subject to complex approval structures and funding constraints making our ability to generate operating cash inflows unpredictable. When we require additional funding, we will seek to secure such best-efforts funding from various sources, including equity or debt financing and government assistance and subsidies. If we raise additional capital through the issuance of equity securities or securities convertible into equity, shareholders will experience dilution, and such securities may have rights or preferences senior to those of the holders of Xanadu Class A Multiple Voting Shares and Xanadu Class B Subordinate Voting Shares. In the second quarter of 2026, the Company anticipates establishing a $300 million synthetic ATM facility (the “Program”), which would give the Company the flexibility to issue Class B Subordinate Voting Shares over time in private placements at its discretion, subject to applicable stock exchange approval in connection with the launch of the Program. The net proceeds are expected to be used to fund the continued development of our quantum computing technology roadmap. In the future, if we obtain additional funds through debt financing, we may be subject to limitations on its operations, through debt covenants or other restrictions. There can be no assurance that we will be able to raise additional capital when needed or under acceptable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have successfully completed equity financings in the past, there can be no assurance that equity offerings in the future will be successful. Our current SIF Loan (as discussed in more detail below) and FedDev Loan, which allow us to receive contributions up to C$40.0 million and C$3.75 million, respectively, contingent on our incurring defined eligible expenditures, provide additional funding for our R&amp;D projects. As of March 31, 2026, we have received C$36.0 million and C$3.4 million in contributions from the SIF Loan and FedDev Loan, respectively. On March 26, 2026, Xanadu successfully consummated its reverse recapitalization with SPAC and Old Xanadu and a concurrent PIPE investment. Gross proceeds from the Reverse Recapitalization were $301.6 million, which includes $275.0 million of PIPE financing and $26.6 million of cash on hand from SPAC. The Company incurred $52.2 million in total costs related to the Reverse Recapitalization and Private Investment in Public Equity (“PIPE”) financing, of which $37.9 million were costs directly related to the issuance of shares, of which $1.3 million was allocated to the issuance of the earn out shares, and thus expensed to the consolidated statement operations and comprehensive loss, and the remaining $36.7 million was recorded against share capital. Based on our current operating plan, management believes that the existing cash and cash equivalents will be sufficient to fund operations, research and development activities, and capital expenditure requirements for at least 12 months from the date our condensed consolidated financial statements are issued. We will continue to work with various funding sources to secure additional debt and equity financing and government assistance and subsidies, if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109</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Government of Canada’s Strategic Innovation Fund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20, 2023, we entered into the Strategic Innovation Fund Agreement, by and between Old Xanadu and His Majesty the King in Right of Canada as represented by the Minister of Industry (the “Minister”), as amended on September 10, 2025 (the “SIF Loan”). The SIF Loan provides for a conditionally repayable contribution to support a C$177.8 million project for the development of photonic-based, fault-tolerant quantum computers (the “Project”). The contribution is for an amount up to the lesser of C$40.0 million or 23.13% of eligible supported costs. As of March 31, 2026, we have received C$36.0 million in total funding from SIF. As of March 31, 2026, we have received all funds except for C$4.0 million which we expect to receive in the second quarter of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and interest amounts to be repaid under the SIF Loan are determined using a revenue-based formula and are capped at 150% of the principal amount. Repayments are due in up to 20 annual installments, commencing on April 30, 2028. If the total of the 20 revenue-based annual installments is less than the principal amount, any remaining repayment obligation will be forgiven.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SIF Loan includes certain covenants requiring us to, among other things, support high-skilled jobs in Canada, collaborate with Canadian institutions and small and medium-sized Canadian-based enterprise, and invest in R&amp;D within Canada, maintain certain intellectual property rights and certain other customary covenants.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the SIF Loan contribution can be accelerated upon an event of default (as defined in the SIF Loan), termination or upon a change of control (as defined in the SIF Loan) that has not been approved by the Minister. In the event the Minister does not provide consent to a change of control, the Minister may require immediate repayment of all disbursed funds. Furthermore, in such circumstances, we may elect to terminate the SIF Loan by paying an additional amount based on contributions disbursed to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SIF Loan expires on the later of March 1, 2048 or the date of the final repayment, other than certain provisions which survive for a period of three years following expiration. Conditional repayments, which are based on our future revenues, are scheduled to be made annually over a 20-year period commencing on April 30, 2028. As of March 31, 2026, we were in compliance with our obligations under the SIF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Commitments and Contractual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our total contractual obligations amounted to $22.7 million, consisting primarily of purchase commitments of $11.4 million, the majority of which relates to our foundry partners, and operating lease commitments, totaling $8.6 million, of which $1.0 million is due within the next 12 months. Other than operating lease commitments, our cash requirements for fiscal year 2026 are expected to be driven mainly by operating expenses and continued investment in the development and advancement of our quantum computers.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Instruments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financial assets including cash and accounts receivable that are recorded at amortized cost. Our financial liabilities, including accounts payable, accrued expenses and long-term debt which are recorded at amortized cost. We also have financial liabilities consisting of lease liabilities, as well as warrants which are carried at fair value. In connection with completion of the Reverse Recapitalization, issued and outstanding Xanadu warrants were exchanged for warrants to purchase Xanadu Class A Multiple Voting Shares or warrants to purchase Xanadu Class B Subordinate Voting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Off-Balance Sheet Arrangements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110</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selected financial information</w:t>
      </w:r>
    </w:p>
    <w:p>
      <w:pPr>
        <w:pStyle w:val="TextBody"/>
        <w:bidi w:val="0"/>
        <w:spacing w:before="0" w:after="0"/>
        <w:ind w:left="0" w:right="0" w:hanging="0"/>
        <w:jc w:val="left"/>
        <w:rPr>
          <w:caps w:val="false"/>
          <w:smallCaps w:val="false"/>
        </w:rPr>
      </w:pPr>
      <w:r>
        <w:rPr>
          <w:caps w:val="false"/>
          <w:smallCaps w:val="false"/>
        </w:rPr>
        <w:t> </w:t>
      </w:r>
    </w:p>
    <w:tbl>
      <w:tblPr>
        <w:tblW w:w="7583" w:type="dxa"/>
        <w:jc w:val="left"/>
        <w:tblInd w:w="0" w:type="dxa"/>
        <w:tblLayout w:type="fixed"/>
        <w:tblCellMar>
          <w:top w:w="0" w:type="dxa"/>
          <w:left w:w="0" w:type="dxa"/>
          <w:bottom w:w="0" w:type="dxa"/>
          <w:right w:w="0" w:type="dxa"/>
        </w:tblCellMar>
      </w:tblPr>
      <w:tblGrid>
        <w:gridCol w:w="2960"/>
        <w:gridCol w:w="60"/>
        <w:gridCol w:w="159"/>
        <w:gridCol w:w="910"/>
        <w:gridCol w:w="60"/>
        <w:gridCol w:w="60"/>
        <w:gridCol w:w="241"/>
        <w:gridCol w:w="1173"/>
        <w:gridCol w:w="60"/>
        <w:gridCol w:w="60"/>
        <w:gridCol w:w="140"/>
        <w:gridCol w:w="800"/>
        <w:gridCol w:w="95"/>
        <w:gridCol w:w="60"/>
        <w:gridCol w:w="60"/>
        <w:gridCol w:w="380"/>
        <w:gridCol w:w="305"/>
      </w:tblGrid>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305" w:type="dxa"/>
            <w:tcBorders/>
            <w:vAlign w:val="center"/>
          </w:tcPr>
          <w:p>
            <w:pPr>
              <w:pStyle w:val="TableContents"/>
              <w:bidi w:val="0"/>
              <w:spacing w:before="0" w:after="283"/>
              <w:jc w:val="left"/>
              <w:rPr/>
            </w:pPr>
            <w:r>
              <w:rPr/>
              <w:t> </w:t>
            </w:r>
          </w:p>
        </w:tc>
      </w:tr>
      <w:tr>
        <w:trPr/>
        <w:tc>
          <w:tcPr>
            <w:tcW w:w="2960" w:type="dxa"/>
            <w:tcBorders>
              <w:bottom w:val="single" w:sz="12" w:space="0" w:color="000000"/>
            </w:tcBorders>
            <w:tcMar>
              <w:bottom w:w="28" w:type="dxa"/>
            </w:tcMar>
            <w:vAlign w:val="center"/>
          </w:tcPr>
          <w:p>
            <w:pPr>
              <w:pStyle w:val="TableContents"/>
              <w:bidi w:val="0"/>
              <w:spacing w:before="0" w:after="283"/>
              <w:jc w:val="left"/>
              <w:rPr>
                <w:b/>
                <w:i/>
              </w:rPr>
            </w:pPr>
            <w:r>
              <w:rPr>
                <w:b/>
                <w:i/>
              </w:rPr>
              <w:t>(In thousands)</w:t>
            </w:r>
          </w:p>
        </w:tc>
        <w:tc>
          <w:tcPr>
            <w:tcW w:w="60" w:type="dxa"/>
            <w:tcBorders/>
            <w:vAlign w:val="center"/>
          </w:tcPr>
          <w:p>
            <w:pPr>
              <w:pStyle w:val="TableContents"/>
              <w:bidi w:val="0"/>
              <w:spacing w:before="0" w:after="283"/>
              <w:jc w:val="left"/>
              <w:rPr>
                <w:color w:val="231F20"/>
              </w:rPr>
            </w:pPr>
            <w:r>
              <w:rPr>
                <w:color w:val="231F20"/>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color w:val="231F20"/>
              </w:rPr>
            </w:pPr>
            <w:r>
              <w:rPr>
                <w:b/>
                <w:color w:val="231F20"/>
              </w:rPr>
              <w:t>2026</w:t>
            </w:r>
          </w:p>
        </w:tc>
        <w:tc>
          <w:tcPr>
            <w:tcW w:w="60" w:type="dxa"/>
            <w:tcBorders/>
            <w:vAlign w:val="center"/>
          </w:tcPr>
          <w:p>
            <w:pPr>
              <w:pStyle w:val="TableContents"/>
              <w:bidi w:val="0"/>
              <w:spacing w:before="0" w:after="283"/>
              <w:jc w:val="left"/>
              <w:rPr>
                <w:color w:val="231F20"/>
              </w:rPr>
            </w:pPr>
            <w:r>
              <w:rPr>
                <w:color w:val="231F20"/>
              </w:rPr>
              <w:t> </w:t>
            </w:r>
          </w:p>
        </w:tc>
        <w:tc>
          <w:tcPr>
            <w:tcW w:w="60" w:type="dxa"/>
            <w:tcBorders/>
            <w:vAlign w:val="center"/>
          </w:tcPr>
          <w:p>
            <w:pPr>
              <w:pStyle w:val="TableContents"/>
              <w:bidi w:val="0"/>
              <w:spacing w:before="0" w:after="283"/>
              <w:jc w:val="left"/>
              <w:rPr>
                <w:color w:val="231F20"/>
              </w:rPr>
            </w:pPr>
            <w:r>
              <w:rPr>
                <w:color w:val="231F20"/>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color w:val="231F20"/>
              </w:rPr>
            </w:pPr>
            <w:r>
              <w:rPr>
                <w:b/>
                <w:color w:val="231F20"/>
              </w:rPr>
              <w:t>2025</w:t>
            </w:r>
          </w:p>
        </w:tc>
        <w:tc>
          <w:tcPr>
            <w:tcW w:w="60" w:type="dxa"/>
            <w:tcBorders/>
            <w:vAlign w:val="center"/>
          </w:tcPr>
          <w:p>
            <w:pPr>
              <w:pStyle w:val="TableContents"/>
              <w:bidi w:val="0"/>
              <w:spacing w:before="0" w:after="283"/>
              <w:jc w:val="left"/>
              <w:rPr>
                <w:color w:val="231F20"/>
              </w:rPr>
            </w:pPr>
            <w:r>
              <w:rPr>
                <w:color w:val="231F20"/>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30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10" w:type="dxa"/>
            <w:tcBorders>
              <w:bottom w:val="single" w:sz="12" w:space="0" w:color="000000"/>
            </w:tcBorders>
            <w:shd w:fill="CCEEFF" w:val="clear"/>
            <w:tcMar>
              <w:bottom w:w="28" w:type="dxa"/>
            </w:tcMar>
            <w:vAlign w:val="center"/>
          </w:tcPr>
          <w:p>
            <w:pPr>
              <w:pStyle w:val="TableContents"/>
              <w:bidi w:val="0"/>
              <w:spacing w:before="0" w:after="283"/>
              <w:jc w:val="right"/>
              <w:rPr/>
            </w:pPr>
            <w:r>
              <w:rPr/>
              <w:t>319,040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70,604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248,436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center"/>
          </w:tcPr>
          <w:p>
            <w:pPr>
              <w:pStyle w:val="TableContents"/>
              <w:bidi w:val="0"/>
              <w:spacing w:before="0" w:after="283"/>
              <w:jc w:val="right"/>
              <w:rPr/>
            </w:pPr>
            <w:r>
              <w:rPr/>
              <w:t>352</w:t>
            </w:r>
          </w:p>
        </w:tc>
        <w:tc>
          <w:tcPr>
            <w:tcW w:w="305" w:type="dxa"/>
            <w:tcBorders/>
            <w:shd w:fill="CCEEFF" w:val="clear"/>
            <w:vAlign w:val="center"/>
          </w:tcPr>
          <w:p>
            <w:pPr>
              <w:pStyle w:val="TableContents"/>
              <w:bidi w:val="0"/>
              <w:spacing w:before="0" w:after="283"/>
              <w:jc w:val="left"/>
              <w:rPr/>
            </w:pPr>
            <w:r>
              <w:rPr/>
              <w:t>%</w:t>
            </w:r>
          </w:p>
        </w:tc>
      </w:tr>
      <w:tr>
        <w:trPr/>
        <w:tc>
          <w:tcPr>
            <w:tcW w:w="2960" w:type="dxa"/>
            <w:tcBorders/>
            <w:shd w:fill="FFFFFF" w:val="clear"/>
            <w:vAlign w:val="center"/>
          </w:tcPr>
          <w:p>
            <w:pPr>
              <w:pStyle w:val="TableContents"/>
              <w:bidi w:val="0"/>
              <w:spacing w:before="0" w:after="283"/>
              <w:jc w:val="left"/>
              <w:rPr/>
            </w:pPr>
            <w:r>
              <w:rPr/>
              <w:t>Non-current financial liabilities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36,828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37,183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(1</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 increased by $248.4 million, or 352%, to $319.0 million as of March 31, 2026 compared to total assets of $70.6 million as of December 31, 2025. The increase was primarily driven by proceeds from the Reverse Recapitalization and PIPE transaction. Gross proceeds from the Reverse Recapitalization were $301.6 million, which includes $275.0 million of PIPE financing and $26.6 million of cash on hand from SPAC. The Company incurred $52.2 million in total costs related to the Reverse Recapitalization and Private Investment in Public Equity (“PIPE”) financing, of which $37.9 million were costs directly related to the issuance of shares, of which $1.3 million was allocated to the issuance of the earn out shares, and thus expensed to the consolidated statement operations and comprehensive loss, and the remaining $36.7 million was recorded against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Non-current Financial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Financial Liabilities consist of long-term lease liabilities and long-term debt, which remained relatively flat in the first quarter of 2026 as compared to the first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Dividend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declare or distribute any cash dividends for the three months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Analysis of cash flows for the three months ended March 31, 2026 and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cash flows for the periods indicated (in thousands):</w:t>
      </w:r>
    </w:p>
    <w:p>
      <w:pPr>
        <w:pStyle w:val="TextBody"/>
        <w:bidi w:val="0"/>
        <w:spacing w:before="0" w:after="0"/>
        <w:ind w:left="0" w:right="0" w:firstLine="360"/>
        <w:jc w:val="both"/>
        <w:rPr>
          <w:caps w:val="false"/>
          <w:smallCaps w:val="false"/>
        </w:rPr>
      </w:pPr>
      <w:r>
        <w:rPr>
          <w:caps w:val="false"/>
          <w:smallCaps w:val="false"/>
        </w:rPr>
        <w:t> </w:t>
      </w:r>
    </w:p>
    <w:tbl>
      <w:tblPr>
        <w:tblW w:w="8277" w:type="dxa"/>
        <w:jc w:val="left"/>
        <w:tblInd w:w="0" w:type="dxa"/>
        <w:tblLayout w:type="fixed"/>
        <w:tblCellMar>
          <w:top w:w="0" w:type="dxa"/>
          <w:left w:w="0" w:type="dxa"/>
          <w:bottom w:w="0" w:type="dxa"/>
          <w:right w:w="0" w:type="dxa"/>
        </w:tblCellMar>
      </w:tblPr>
      <w:tblGrid>
        <w:gridCol w:w="5840"/>
        <w:gridCol w:w="60"/>
        <w:gridCol w:w="159"/>
        <w:gridCol w:w="912"/>
        <w:gridCol w:w="108"/>
        <w:gridCol w:w="68"/>
        <w:gridCol w:w="159"/>
        <w:gridCol w:w="861"/>
        <w:gridCol w:w="110"/>
      </w:tblGrid>
      <w:tr>
        <w:trPr/>
        <w:tc>
          <w:tcPr>
            <w:tcW w:w="5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March 31,</w:t>
            </w:r>
          </w:p>
        </w:tc>
        <w:tc>
          <w:tcPr>
            <w:tcW w:w="110"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0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912" w:type="dxa"/>
            <w:tcBorders/>
            <w:shd w:fill="CCEEFF" w:val="clear"/>
            <w:vAlign w:val="center"/>
          </w:tcPr>
          <w:p>
            <w:pPr>
              <w:pStyle w:val="TableContents"/>
              <w:bidi w:val="0"/>
              <w:spacing w:before="0" w:after="283"/>
              <w:jc w:val="right"/>
              <w:rPr/>
            </w:pPr>
            <w:r>
              <w:rPr/>
              <w:t>(7,035</w:t>
            </w:r>
          </w:p>
        </w:tc>
        <w:tc>
          <w:tcPr>
            <w:tcW w:w="108"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861" w:type="dxa"/>
            <w:tcBorders/>
            <w:shd w:fill="CCEEFF" w:val="clear"/>
            <w:vAlign w:val="center"/>
          </w:tcPr>
          <w:p>
            <w:pPr>
              <w:pStyle w:val="TableContents"/>
              <w:bidi w:val="0"/>
              <w:spacing w:before="0" w:after="283"/>
              <w:jc w:val="right"/>
              <w:rPr/>
            </w:pPr>
            <w:r>
              <w:rPr/>
              <w:t>(16,293</w:t>
            </w:r>
          </w:p>
        </w:tc>
        <w:tc>
          <w:tcPr>
            <w:tcW w:w="110" w:type="dxa"/>
            <w:tcBorders/>
            <w:shd w:fill="CCEEFF" w:val="clear"/>
            <w:vAlign w:val="center"/>
          </w:tcPr>
          <w:p>
            <w:pPr>
              <w:pStyle w:val="TableContents"/>
              <w:bidi w:val="0"/>
              <w:spacing w:before="0" w:after="283"/>
              <w:jc w:val="left"/>
              <w:rPr/>
            </w:pPr>
            <w:r>
              <w:rPr/>
              <w:t>)</w:t>
            </w:r>
          </w:p>
        </w:tc>
      </w:tr>
      <w:tr>
        <w:trPr/>
        <w:tc>
          <w:tcPr>
            <w:tcW w:w="5840"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pPr>
            <w:r>
              <w:rPr/>
              <w:t>264,361</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2,239</w:t>
            </w:r>
          </w:p>
        </w:tc>
        <w:tc>
          <w:tcPr>
            <w:tcW w:w="110" w:type="dxa"/>
            <w:tcBorders/>
            <w:shd w:fill="FFFFFF" w:val="clear"/>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(528</w:t>
            </w:r>
          </w:p>
        </w:tc>
        <w:tc>
          <w:tcPr>
            <w:tcW w:w="108"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(1,846</w:t>
            </w:r>
          </w:p>
        </w:tc>
        <w:tc>
          <w:tcPr>
            <w:tcW w:w="110" w:type="dxa"/>
            <w:tcBorders/>
            <w:shd w:fill="CCEEFF" w:val="clear"/>
            <w:vAlign w:val="center"/>
          </w:tcPr>
          <w:p>
            <w:pPr>
              <w:pStyle w:val="TableContents"/>
              <w:bidi w:val="0"/>
              <w:spacing w:before="0" w:after="283"/>
              <w:jc w:val="left"/>
              <w:rPr/>
            </w:pPr>
            <w:r>
              <w:rPr/>
              <w:t>)</w:t>
            </w:r>
          </w:p>
        </w:tc>
      </w:tr>
      <w:tr>
        <w:trPr/>
        <w:tc>
          <w:tcPr>
            <w:tcW w:w="5840" w:type="dxa"/>
            <w:tcBorders/>
            <w:shd w:fill="FFFFFF" w:val="clear"/>
            <w:vAlign w:val="center"/>
          </w:tcPr>
          <w:p>
            <w:pPr>
              <w:pStyle w:val="TableContents"/>
              <w:bidi w:val="0"/>
              <w:spacing w:before="0" w:after="283"/>
              <w:jc w:val="left"/>
              <w:rPr/>
            </w:pPr>
            <w:r>
              <w:rPr/>
              <w:t>Effect of foreign exchange rates on cash and cash equivalents</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2" w:type="dxa"/>
            <w:tcBorders>
              <w:bottom w:val="single" w:sz="12" w:space="0" w:color="000000"/>
            </w:tcBorders>
            <w:shd w:fill="FFFFFF" w:val="clear"/>
            <w:tcMar>
              <w:bottom w:w="28" w:type="dxa"/>
            </w:tcMar>
            <w:vAlign w:val="center"/>
          </w:tcPr>
          <w:p>
            <w:pPr>
              <w:pStyle w:val="TableContents"/>
              <w:bidi w:val="0"/>
              <w:spacing w:before="0" w:after="283"/>
              <w:jc w:val="right"/>
              <w:rPr/>
            </w:pPr>
            <w:r>
              <w:rPr/>
              <w:t>(497</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1" w:type="dxa"/>
            <w:tcBorders>
              <w:bottom w:val="single" w:sz="12" w:space="0" w:color="000000"/>
            </w:tcBorders>
            <w:shd w:fill="FFFFFF" w:val="clear"/>
            <w:tcMar>
              <w:bottom w:w="28" w:type="dxa"/>
            </w:tcMar>
            <w:vAlign w:val="center"/>
          </w:tcPr>
          <w:p>
            <w:pPr>
              <w:pStyle w:val="TableContents"/>
              <w:bidi w:val="0"/>
              <w:spacing w:before="0" w:after="283"/>
              <w:jc w:val="right"/>
              <w:rPr/>
            </w:pPr>
            <w:r>
              <w:rPr/>
              <w:t>(51</w:t>
            </w:r>
          </w:p>
        </w:tc>
        <w:tc>
          <w:tcPr>
            <w:tcW w:w="110" w:type="dxa"/>
            <w:tcBorders/>
            <w:shd w:fill="FFFFFF" w:val="clear"/>
            <w:vAlign w:val="center"/>
          </w:tcPr>
          <w:p>
            <w:pPr>
              <w:pStyle w:val="TableContents"/>
              <w:bidi w:val="0"/>
              <w:spacing w:before="0" w:after="283"/>
              <w:jc w:val="left"/>
              <w:rPr/>
            </w:pPr>
            <w:r>
              <w:rPr/>
              <w:t>)</w:t>
            </w:r>
          </w:p>
        </w:tc>
      </w:tr>
      <w:tr>
        <w:trPr/>
        <w:tc>
          <w:tcPr>
            <w:tcW w:w="5840" w:type="dxa"/>
            <w:tcBorders/>
            <w:shd w:fill="CCEEFF" w:val="clear"/>
            <w:vAlign w:val="center"/>
          </w:tcPr>
          <w:p>
            <w:pPr>
              <w:pStyle w:val="TableContents"/>
              <w:bidi w:val="0"/>
              <w:spacing w:before="0" w:after="283"/>
              <w:jc w:val="left"/>
              <w:rPr>
                <w:b/>
              </w:rPr>
            </w:pPr>
            <w:r>
              <w:rPr>
                <w:b/>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1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256,301</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6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(15,951</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Used in Operating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 from operating activities are significantly affected by our business growth, primarily related to R&amp;D, sales and marketing, and general and administrative activities. Operating cash flows are also affected by working capital needs to support growth in personnel-related expenditures and fluctuations in accounts payable and other current assets and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three months ended March 31, 2026 and 2025, was $7.0 million and $16.3 million, respectively. The reduction in net cash used in operating activities is primarily driven by the Company receiving two rounds of grant receipts totaling C$20.7 million in the quarter. This impact is shown via the net cash inflow from accounts receivable and deferred grant income in the unaudited condensed consolidated statements of cash flows.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111</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charges, increased to $1.5 million for the three months ended March 31, 2026 from $2.5 million provided for the three months ended March 31, 2025. The primary driver was a $1.9 million gain in the three months ended March 31, 2026 related to the change in fair value of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Provided by Financing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three months ended March 31, 2026 and 2025 was $264.4 million and $2.2 million, respectively, with the increase primarily attributable to proceeds from the Reverse Recapitalization and PIPE transaction. Gross proceeds from the Reverse Recapitalization was $301.6 million, which includes $275.0 million of Private Investment in Public Equity (“PIPE”) financing and $26.6 million of cash on hand from SPAC. Total direct transaction costs related to the issuance of shares in connection with the Reverse Recapitalization were $36.7 million, consisting primarily of legal, accounting, advisory, and other professional fees. In addition to the direct costs, $1.4 million of total indirect transaction costs were paid by SPAC prior to the closing of the Reverse Recapitalization and PIPE transaction. These costs were recorded directly to accumulated deficit in the consolidated balance sheet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Used in Investing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during the three months ended March 31, 2026 was $528 thousand, compared to $1.8 million for three months ended March 31, 2025. This decrease is primarily attributable to a decrease in purchases of property and equipment and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us to make estimates and assumptions that affect the reported amounts of assets and liabilities and the disclosure of contingent assets and liabilities. Estimates are based on historical experience and other various assumptions management believes are reasonable at that time, the result of which form the basis for making judgments about the carrying values of assets and liabilities that are not readily apparent from other sources. Actual results and outcomes could differ materially from management’s estimates, judgment and assumptions.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sources of estimation uncertainty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Recognition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revenue primarily from: (i) professional services related to research projects, proof of concept development, and quantum education and (ii) compute and other services which includes provision of compute services, such as co-development and execution of quantum algorithms on the Company’s quantum computing systems, and provision, on a non-exclusive basis, via access to its photonic based-hardware, of QCaaS.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for partially completed projects that are deemed probable of being met is recognized using an input measure based on actual labor hours incurred to date relative to total estimated labor hours required to complete the milestone. For fixed price milestone -based contracts, revenue is recognized based on this input measure as control is expected to transfer over the period that the milestone is completed. Total estimated labor hours are subject to management’s judgment and may be revised as projects progress. Significant changes to these estimates could result in material changes to expected revenue recognition patterns.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contracts that can include various combinations of products and services, which are generally capable of being distinct and accounted for as separate performance obligations. A contract’s transaction price is allocated to each distinct performance obligation based on their estimated standalone selling price. We determine standalone selling price based on the observable price of a product or service when it sells the products or services separately in similar circumstances and to similar customers. Certain products and services have limited or no history of being sold on a standalone basis. In these instances, we determine standalone selling price by considering its overall pricing objectives and market conditions, including cost plus a reasonable margin. Significant pricing practices considered include our discounting practices, the value of the contracts, historical standalone sales, customer demographics, geographic locations, and the number and types of users within the contracts. This practice requires judgment from management and the use of alternative inputs could result in revenue recognition patterns that vary from those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112</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Materials and Supplies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Materials and supplies consist primarily of chip fabrication and other costs incurred for the purposes of our R&amp;D activities. These are carried at average cost and recorded in materials and supplies in the consolidated balance sheets then expensed when consumed if an alternative use exists. Otherwise, these costs are expensed when incurred. The assessment of these materials and supplies’ alternative use and the identification of costs directly incurred to fabricate the materials and supplies requires management judgment and is subject to the current R&amp;D roadmap. Changes in our internal technological roadmap or in industry assessments of these materials and supplies could result in changes to our expense recognition patterns.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fair value of equity-settled stock-based payments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account for stock-based compensation in accordance with ASC 718, </w:t>
      </w:r>
      <w:r>
        <w:rPr>
          <w:rFonts w:ascii="Times New Roman;Times;Serif" w:hAnsi="Times New Roman;Times;Serif"/>
          <w:b w:val="false"/>
          <w:i/>
          <w:caps w:val="false"/>
          <w:smallCaps w:val="false"/>
          <w:sz w:val="20"/>
        </w:rPr>
        <w:t>Compensation - Stock Compensation</w:t>
      </w:r>
      <w:r>
        <w:rPr>
          <w:rFonts w:ascii="Times New Roman;Times;Serif" w:hAnsi="Times New Roman;Times;Serif"/>
          <w:b w:val="false"/>
          <w:i w:val="false"/>
          <w:caps w:val="false"/>
          <w:smallCaps w:val="false"/>
          <w:sz w:val="20"/>
        </w:rPr>
        <w:t>. Equity-settled stock-based payments to employees and others providing similar services are recognized as stock-based compensation expense based on the fair value of the equity instruments at the grant date. We utilize the Black-Scholes model to determine the fair value of stock-based option awards. The Black-Scholes pricing model requires various subjective assumptions including the estimated fair value of the underlying shares and volatility. The assumptions used in calculating the fair value of stock-based payment awards represent management’s best estimates. These estimates involve inherent uncertainties and the application of management judgment. If factors change and different assumptions are used, our stock-based compensation expense could be materially different in the future. The estimates related to the fair-value of equity-settled stock-based payments affect the value of stock-based compensation reflected in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Long-term revenue forecasts used in accounting for the SIF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SIF Loan is conditionally repayable according to a revenue-based formula. The debt arising from the SIF Loan was recorded at face value and will be amortized using the effective interest method, leading to the accrual of interest expenses over the estimated term of the SIF Loan. The amortization schedule is based on projected cash flows derived from our long-term revenue forecast, which is contingent upon the successful implementation of our monetization strategy as described in the section entitled “- </w:t>
      </w:r>
      <w:r>
        <w:rPr>
          <w:rFonts w:ascii="Times New Roman;Times;Serif" w:hAnsi="Times New Roman;Times;Serif"/>
          <w:b w:val="false"/>
          <w:i/>
          <w:caps w:val="false"/>
          <w:smallCaps w:val="false"/>
          <w:sz w:val="20"/>
        </w:rPr>
        <w:t>Trends and Key Factors Affecting Operating Results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changes in forecasted cash flows will be accounted for under the retrospective method, which entails a new effective interest rate being computed each period based on the original proceeds received, actual cash flows to date, and the revised estimate of remaining cash flows. The new discount rate is then used to adjust the carrying value of the debt to the present value of the revised cash flows, discounted at the new effective interest rate. The offset is recognized in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and Adopted Accounting Standards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recent accounting pronouncements issued and adopted is included in Note 2 - Basis of Presentation and Summary of Significant Accounting Policies to our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regarding related party transactions resulting from the Reverse Recapitalization, see “ Item 7. Major Shareholders and Related Party Transactions in the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113</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Share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our outstanding share capital consisted of 255,226,928 Xanadu Class A Multiple Voting Shares issued and outstanding, and 43,284,436 Xanadu Class B Subordinate Voting Shares issued and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of March 31, 2026, 157,960 warrants to purchase Xanadu Class B Subordinate Voting Shares outstanding. There were also 3,261,109 options to purchase Xanadu Class A Multiple Voting Shares and 43,976,507 options to purchase Xanadu Class B Subordinate Voting shares issued and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14, 2026, our share capital consisted of 255,226,928 Xanadu Class A Multiple Voting Shares issued and outstanding and 43,284,411 Xanadu Class B Subordinate Voting Shares issued and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of May 14, 2026, there were 157,960 warrants to purchase Xanadu Class B Subordinate Voting Shares outstanding. There were also 3,261,109 options to purchase Xanadu Class A Multiple Voting Shares and 43,976,507 options to purchase Xanadu Class B Subordinate Voting shares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Quantitative and Qualitative Disclosures about Market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foreign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Currency Exchange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functional currency is the U.S. dollar. We undertake transactions denominated in various foreign currencies. As we expand our presence in international markets, our results of operations and cash flows may increasingly be subject to fluctuations due to changes in foreign currency exchange rates and may be adversely affected in the future due to changes in foreign exchange rates. To date, we have not entered into any derivative arrangement to minimize the impact of these fluctuations in the exchange rates. We will periodically reassess our approach to managing our risk relating to fluctuations in currency rates.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believe that foreign currency risk had a material effect on our business, financial condition, or results of operations during the periods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Canadian denominated cash of $8.9 million and Canadian denominated net liabilities and loans payable of $39.5 million. The remaining amounts were denominated in U.S. dollars. Gains and losses arising upon translation of these amounts into U.S. dollars for inclusion in the consolidated financial statements are recognized in other income (expense), net in the statements of operations and comprehensive loss in the period in which they arise. A 5% weakening of the Canadian dollar versus the U.S. dollar, at March 31, 2026, would have increased the foreign exchange gain (loss) for the quarter by approximately $1.5 million while a 5% strengthening of the Canadian dollar would have increased our foreign exchange gain (loss) for the quarter by approximately $(1.5) million. This analysis assumes that all other variables remain constant.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Rate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risk is the risk arising from the effect of changes in prevailing interest rates on our financial instruments. Such exposure primarily involves our money market funds and time deposit accounts. The outstanding SIF Loan principal and interest amounts to be repaid are determined using a revenue-based formula and are capped at 150% of the principal amount. The FedDev loan is interest free and we are therefore not subject to interest rate risk with respect to these loans. It is management’s opinion that we are not exposed to significant interest rate risk, as we have no variable interest rate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114</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Credit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may expose us to concentration of credit risk include cash and accounts receivable. We maintain our cash and investments with high quality financial institutions, which, at times, may exceed federally insured limits. We perform periodic evaluations of relative credit standing of the financial institutions. With respect to accounts receivable, we monitor the credit quality of our customers and we have not yet experienced credit loss from accounts receivables. Management believes that we are not exposed to significant credit risk due to the financial strength of the depository institutions in which the cash is 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Liquidity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Item 5 and risk factors, including “We rely on funding and financial contributions from contracts with the public sector, including the Canadian government and U.S. government” within our 2025 20-F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Inflation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inflation will have a general impact on our business in line with overall price increases, increases in the cost of borrowing, and operating in an inflationary economy. We cannot predict the timing, strength, or duration of any inflationary period or economic slowdown or its ultimate impact on the Company. If the conditions in the general economy significantly deviate from present levels and continue to deteriorate it could have a material adverse effect on our business, financial condition, results of operations and growth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Concentration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72.0% of our revenues was attributable to one customer. For the three months ended March 31, 2025, 75.0% of our revenues were attributable to four customers, contributing 35%, 19%, 11%, and 10%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Xanadu intends to take advantage of the benefits of this extended transition period and, following the consummation of the reverse recapitalization, will be an emerging growth company (for the period described in the immediately succeeding paragraph) and will take advantage of the benefits of the extended transition period emerging growth company status permits. During the extended transition period, it may be difficult or impossible to compare Xanadu’s financial results with the financial results of another public company that complies with public company effective dates for accounting standard updates because of the potential differences in accounting standards used.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will remain an emerging growth company under the JOBS Act until the earlier of:</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5"/>
        <w:gridCol w:w="9979"/>
      </w:tblGrid>
      <w:tr>
        <w:trPr/>
        <w:tc>
          <w:tcPr>
            <w:tcW w:w="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w:t>
            </w:r>
          </w:p>
        </w:tc>
        <w:tc>
          <w:tcPr>
            <w:tcW w:w="9979" w:type="dxa"/>
            <w:tcBorders/>
            <w:vAlign w:val="center"/>
          </w:tcPr>
          <w:p>
            <w:pPr>
              <w:pStyle w:val="TableContents"/>
              <w:bidi w:val="0"/>
              <w:spacing w:before="0" w:after="283"/>
              <w:jc w:val="both"/>
              <w:rPr/>
            </w:pPr>
            <w:r>
              <w:rPr/>
              <w:t>The last day of the fiscal year in which its total annual gross revenues are $1.235 billion or more.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89"/>
        <w:gridCol w:w="9974"/>
      </w:tblGrid>
      <w:tr>
        <w:trPr/>
        <w:tc>
          <w:tcPr>
            <w:tcW w:w="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w:t>
            </w:r>
          </w:p>
        </w:tc>
        <w:tc>
          <w:tcPr>
            <w:tcW w:w="9974" w:type="dxa"/>
            <w:tcBorders/>
            <w:vAlign w:val="center"/>
          </w:tcPr>
          <w:p>
            <w:pPr>
              <w:pStyle w:val="TableContents"/>
              <w:bidi w:val="0"/>
              <w:spacing w:before="0" w:after="283"/>
              <w:jc w:val="both"/>
              <w:rPr/>
            </w:pPr>
            <w:r>
              <w:rPr/>
              <w:t>The last day of the fiscal year following the fifth anniversary of the completion of this offering.</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date on which it has issued more than $1.0 billion in non-convertible debt during the previous three years.</w:t>
            </w:r>
          </w:p>
        </w:tc>
      </w:tr>
    </w:tbl>
    <w:p>
      <w:pPr>
        <w:pStyle w:val="TextBody"/>
        <w:bidi w:val="0"/>
        <w:spacing w:before="0" w:after="0"/>
        <w:ind w:left="720" w:right="0" w:hanging="360"/>
        <w:jc w:val="both"/>
        <w:rPr>
          <w:caps/>
        </w:rPr>
      </w:pPr>
      <w:r>
        <w:rPr>
          <w:caps/>
        </w:rPr>
        <w:t> </w:t>
      </w:r>
    </w:p>
    <w:tbl>
      <w:tblPr>
        <w:tblW w:w="5000" w:type="pct"/>
        <w:jc w:val="left"/>
        <w:tblInd w:w="0" w:type="dxa"/>
        <w:tblLayout w:type="fixed"/>
        <w:tblCellMar>
          <w:top w:w="0" w:type="dxa"/>
          <w:left w:w="0" w:type="dxa"/>
          <w:bottom w:w="0" w:type="dxa"/>
          <w:right w:w="0" w:type="dxa"/>
        </w:tblCellMar>
      </w:tblPr>
      <w:tblGrid>
        <w:gridCol w:w="64"/>
        <w:gridCol w:w="288"/>
        <w:gridCol w:w="9853"/>
      </w:tblGrid>
      <w:tr>
        <w:trPr/>
        <w:tc>
          <w:tcPr>
            <w:tcW w:w="6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w:t>
            </w:r>
          </w:p>
        </w:tc>
        <w:tc>
          <w:tcPr>
            <w:tcW w:w="9853" w:type="dxa"/>
            <w:tcBorders/>
            <w:vAlign w:val="center"/>
          </w:tcPr>
          <w:p>
            <w:pPr>
              <w:pStyle w:val="TableContents"/>
              <w:bidi w:val="0"/>
              <w:spacing w:before="0" w:after="283"/>
              <w:jc w:val="both"/>
              <w:rPr/>
            </w:pPr>
            <w:r>
              <w:rPr/>
              <w:t>The date on which it is deemed to be a large accelerated filer.</w:t>
            </w:r>
          </w:p>
        </w:tc>
      </w:tr>
    </w:tbl>
    <w:p>
      <w:pPr>
        <w:pStyle w:val="TextBody"/>
        <w:bidi w:val="0"/>
        <w:spacing w:before="0" w:after="0"/>
        <w:jc w:val="left"/>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115</w:t>
      </w:r>
    </w:p>
    <w:p>
      <w:pPr>
        <w:pStyle w:val="TextBody"/>
        <w:bidi w:val="0"/>
        <w:spacing w:before="0" w:after="0"/>
        <w:jc w:val="center"/>
        <w:rPr/>
      </w:pPr>
      <w:r>
        <w:rPr/>
        <w:t> </w:t>
      </w:r>
    </w:p>
    <w:p>
      <w:pPr>
        <w:pStyle w:val="TextBody"/>
        <w:bidi w:val="0"/>
        <w:spacing w:before="0" w:after="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1" w:name="a_020"/>
      <w:bookmarkEnd w:id="21"/>
      <w:r>
        <w:rPr>
          <w:rFonts w:ascii="Times New Roman;Times;Serif" w:hAnsi="Times New Roman;Times;Serif"/>
          <w:b/>
          <w:i w:val="false"/>
          <w:caps/>
          <w:sz w:val="20"/>
        </w:rPr>
        <w:t>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 and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executive officers and directors of the Company, and their ages as of March 31, 2026. Unless otherwise noted, the business address of each of the directors and executive officers of the Company is 777 Bay Street, Suite 2400 Toronto, Ontario M5G 2C8 Canada.</w:t>
      </w:r>
    </w:p>
    <w:p>
      <w:pPr>
        <w:pStyle w:val="TextBody"/>
        <w:bidi w:val="0"/>
        <w:spacing w:before="0" w:after="0"/>
        <w:ind w:left="0" w:right="0" w:firstLine="360"/>
        <w:jc w:val="both"/>
        <w:rPr>
          <w:caps w:val="false"/>
          <w:smallCaps w:val="false"/>
        </w:rPr>
      </w:pPr>
      <w:r>
        <w:rPr>
          <w:caps w:val="false"/>
          <w:smallCaps w:val="false"/>
        </w:rPr>
        <w:t> </w:t>
      </w:r>
    </w:p>
    <w:tbl>
      <w:tblPr>
        <w:tblW w:w="9995" w:type="dxa"/>
        <w:jc w:val="left"/>
        <w:tblInd w:w="0" w:type="dxa"/>
        <w:tblLayout w:type="fixed"/>
        <w:tblCellMar>
          <w:top w:w="0" w:type="dxa"/>
          <w:left w:w="0" w:type="dxa"/>
          <w:bottom w:w="28" w:type="dxa"/>
          <w:right w:w="0" w:type="dxa"/>
        </w:tblCellMar>
      </w:tblPr>
      <w:tblGrid>
        <w:gridCol w:w="2525"/>
        <w:gridCol w:w="60"/>
        <w:gridCol w:w="350"/>
        <w:gridCol w:w="60"/>
        <w:gridCol w:w="3935"/>
        <w:gridCol w:w="60"/>
        <w:gridCol w:w="3005"/>
      </w:tblGrid>
      <w:tr>
        <w:trPr/>
        <w:tc>
          <w:tcPr>
            <w:tcW w:w="2525" w:type="dxa"/>
            <w:tcBorders>
              <w:bottom w:val="single" w:sz="12"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vAlign w:val="center"/>
          </w:tcPr>
          <w:p>
            <w:pPr>
              <w:pStyle w:val="TableContents"/>
              <w:bidi w:val="0"/>
              <w:spacing w:before="0" w:after="283"/>
              <w:jc w:val="center"/>
              <w:rPr>
                <w:b/>
                <w:sz w:val="20"/>
              </w:rPr>
            </w:pPr>
            <w:r>
              <w:rPr>
                <w:b/>
                <w:sz w:val="20"/>
              </w:rPr>
              <w:t>Age</w:t>
            </w:r>
          </w:p>
        </w:tc>
        <w:tc>
          <w:tcPr>
            <w:tcW w:w="60" w:type="dxa"/>
            <w:tcBorders/>
            <w:tcMar>
              <w:bottom w:w="0" w:type="dxa"/>
            </w:tcMar>
            <w:vAlign w:val="center"/>
          </w:tcPr>
          <w:p>
            <w:pPr>
              <w:pStyle w:val="TableContents"/>
              <w:bidi w:val="0"/>
              <w:spacing w:before="0" w:after="283"/>
              <w:jc w:val="left"/>
              <w:rPr/>
            </w:pPr>
            <w:r>
              <w:rPr/>
              <w:t> </w:t>
            </w:r>
          </w:p>
        </w:tc>
        <w:tc>
          <w:tcPr>
            <w:tcW w:w="3935" w:type="dxa"/>
            <w:tcBorders>
              <w:bottom w:val="single" w:sz="12" w:space="0" w:color="000000"/>
            </w:tcBorders>
            <w:vAlign w:val="center"/>
          </w:tcPr>
          <w:p>
            <w:pPr>
              <w:pStyle w:val="TableContents"/>
              <w:bidi w:val="0"/>
              <w:spacing w:before="0" w:after="283"/>
              <w:jc w:val="center"/>
              <w:rPr>
                <w:b/>
                <w:sz w:val="20"/>
              </w:rPr>
            </w:pPr>
            <w:r>
              <w:rPr>
                <w:b/>
                <w:sz w:val="20"/>
              </w:rPr>
              <w:t>Residence</w:t>
            </w:r>
          </w:p>
        </w:tc>
        <w:tc>
          <w:tcPr>
            <w:tcW w:w="60" w:type="dxa"/>
            <w:tcBorders/>
            <w:tcMar>
              <w:bottom w:w="0" w:type="dxa"/>
            </w:tcMar>
            <w:vAlign w:val="center"/>
          </w:tcPr>
          <w:p>
            <w:pPr>
              <w:pStyle w:val="TableContents"/>
              <w:bidi w:val="0"/>
              <w:spacing w:before="0" w:after="283"/>
              <w:jc w:val="left"/>
              <w:rPr/>
            </w:pPr>
            <w:r>
              <w:rPr/>
              <w:t> </w:t>
            </w:r>
          </w:p>
        </w:tc>
        <w:tc>
          <w:tcPr>
            <w:tcW w:w="3005" w:type="dxa"/>
            <w:tcBorders>
              <w:bottom w:val="single" w:sz="12" w:space="0" w:color="000000"/>
            </w:tcBorders>
            <w:vAlign w:val="center"/>
          </w:tcPr>
          <w:p>
            <w:pPr>
              <w:pStyle w:val="TableContents"/>
              <w:bidi w:val="0"/>
              <w:spacing w:before="0" w:after="283"/>
              <w:jc w:val="center"/>
              <w:rPr>
                <w:b/>
                <w:sz w:val="20"/>
              </w:rPr>
            </w:pPr>
            <w:r>
              <w:rPr>
                <w:b/>
                <w:sz w:val="20"/>
              </w:rPr>
              <w:t>Position</w:t>
            </w:r>
          </w:p>
        </w:tc>
      </w:tr>
      <w:tr>
        <w:trPr/>
        <w:tc>
          <w:tcPr>
            <w:tcW w:w="2525" w:type="dxa"/>
            <w:tcBorders/>
            <w:shd w:fill="FFFFFF" w:val="clear"/>
            <w:tcMar>
              <w:bottom w:w="0" w:type="dxa"/>
            </w:tcMar>
            <w:vAlign w:val="center"/>
          </w:tcPr>
          <w:p>
            <w:pPr>
              <w:pStyle w:val="TableContents"/>
              <w:bidi w:val="0"/>
              <w:spacing w:before="0" w:after="283"/>
              <w:jc w:val="both"/>
              <w:rPr>
                <w:b/>
                <w:sz w:val="20"/>
              </w:rPr>
            </w:pPr>
            <w:r>
              <w:rPr>
                <w:b/>
                <w:sz w:val="20"/>
              </w:rPr>
              <w:t>Executive Officers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5" w:type="dxa"/>
            <w:tcBorders/>
            <w:shd w:fill="FFFFFF" w:val="clear"/>
            <w:tcMar>
              <w:bottom w:w="0" w:type="dxa"/>
            </w:tcMar>
            <w:vAlign w:val="center"/>
          </w:tcPr>
          <w:p>
            <w:pPr>
              <w:pStyle w:val="TableContents"/>
              <w:bidi w:val="0"/>
              <w:spacing w:before="0" w:after="283"/>
              <w:jc w:val="left"/>
              <w:rPr/>
            </w:pPr>
            <w:r>
              <w:rPr/>
              <w:t> </w:t>
            </w:r>
          </w:p>
        </w:tc>
      </w:tr>
      <w:tr>
        <w:trPr/>
        <w:tc>
          <w:tcPr>
            <w:tcW w:w="2525" w:type="dxa"/>
            <w:tcBorders/>
            <w:shd w:fill="CCEEFF" w:val="clear"/>
            <w:tcMar>
              <w:bottom w:w="0" w:type="dxa"/>
            </w:tcMar>
            <w:vAlign w:val="center"/>
          </w:tcPr>
          <w:p>
            <w:pPr>
              <w:pStyle w:val="TableContents"/>
              <w:bidi w:val="0"/>
              <w:spacing w:before="0" w:after="283"/>
              <w:jc w:val="both"/>
              <w:rPr>
                <w:sz w:val="20"/>
              </w:rPr>
            </w:pPr>
            <w:r>
              <w:rPr>
                <w:sz w:val="20"/>
              </w:rPr>
              <w:t>Christian Weedbrook</w:t>
            </w:r>
            <w:r>
              <w:rPr>
                <w:position w:val="7"/>
                <w:sz w:val="16"/>
                <w:sz w:val="20"/>
              </w:rPr>
              <w:t>(1)(6)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5" w:type="dxa"/>
            <w:tcBorders/>
            <w:shd w:fill="CCEEFF" w:val="clear"/>
            <w:tcMar>
              <w:bottom w:w="0" w:type="dxa"/>
            </w:tcMar>
            <w:vAlign w:val="center"/>
          </w:tcPr>
          <w:p>
            <w:pPr>
              <w:pStyle w:val="TableContents"/>
              <w:bidi w:val="0"/>
              <w:spacing w:before="0" w:after="283"/>
              <w:jc w:val="left"/>
              <w:rPr>
                <w:sz w:val="20"/>
              </w:rPr>
            </w:pPr>
            <w:r>
              <w:rPr>
                <w:sz w:val="20"/>
              </w:rPr>
              <w:t>Toronto, Ontario, Canada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283"/>
              <w:jc w:val="left"/>
              <w:rPr>
                <w:sz w:val="20"/>
              </w:rPr>
            </w:pPr>
            <w:r>
              <w:rPr>
                <w:sz w:val="20"/>
              </w:rPr>
              <w:t>Chief Executive Officer and Director</w:t>
            </w:r>
          </w:p>
        </w:tc>
      </w:tr>
      <w:tr>
        <w:trPr/>
        <w:tc>
          <w:tcPr>
            <w:tcW w:w="2525" w:type="dxa"/>
            <w:tcBorders/>
            <w:shd w:fill="FFFFFF" w:val="clear"/>
            <w:tcMar>
              <w:bottom w:w="0" w:type="dxa"/>
            </w:tcMar>
            <w:vAlign w:val="center"/>
          </w:tcPr>
          <w:p>
            <w:pPr>
              <w:pStyle w:val="TableContents"/>
              <w:bidi w:val="0"/>
              <w:spacing w:before="0" w:after="283"/>
              <w:jc w:val="both"/>
              <w:rPr>
                <w:sz w:val="20"/>
              </w:rPr>
            </w:pPr>
            <w:r>
              <w:rPr>
                <w:sz w:val="20"/>
              </w:rPr>
              <w:t>Michael Trzupek</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5" w:type="dxa"/>
            <w:tcBorders/>
            <w:shd w:fill="FFFFFF" w:val="clear"/>
            <w:tcMar>
              <w:bottom w:w="0" w:type="dxa"/>
            </w:tcMar>
            <w:vAlign w:val="center"/>
          </w:tcPr>
          <w:p>
            <w:pPr>
              <w:pStyle w:val="TableContents"/>
              <w:bidi w:val="0"/>
              <w:spacing w:before="0" w:after="283"/>
              <w:jc w:val="left"/>
              <w:rPr>
                <w:sz w:val="20"/>
              </w:rPr>
            </w:pPr>
            <w:r>
              <w:rPr>
                <w:sz w:val="20"/>
              </w:rPr>
              <w:t>Redmond, Washington, 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5" w:type="dxa"/>
            <w:tcBorders/>
            <w:shd w:fill="FFFFFF" w:val="clear"/>
            <w:tcMar>
              <w:bottom w:w="0" w:type="dxa"/>
            </w:tcMar>
            <w:vAlign w:val="center"/>
          </w:tcPr>
          <w:p>
            <w:pPr>
              <w:pStyle w:val="TableContents"/>
              <w:bidi w:val="0"/>
              <w:spacing w:before="0" w:after="283"/>
              <w:jc w:val="left"/>
              <w:rPr>
                <w:sz w:val="20"/>
              </w:rPr>
            </w:pPr>
            <w:r>
              <w:rPr>
                <w:sz w:val="20"/>
              </w:rPr>
              <w:t>Chief Financial Officer</w:t>
            </w:r>
          </w:p>
        </w:tc>
      </w:tr>
      <w:tr>
        <w:trPr/>
        <w:tc>
          <w:tcPr>
            <w:tcW w:w="2525" w:type="dxa"/>
            <w:tcBorders/>
            <w:shd w:fill="CCEEFF" w:val="clear"/>
            <w:tcMar>
              <w:bottom w:w="0" w:type="dxa"/>
            </w:tcMar>
            <w:vAlign w:val="center"/>
          </w:tcPr>
          <w:p>
            <w:pPr>
              <w:pStyle w:val="TableContents"/>
              <w:bidi w:val="0"/>
              <w:spacing w:before="0" w:after="283"/>
              <w:jc w:val="both"/>
              <w:rPr>
                <w:sz w:val="20"/>
              </w:rPr>
            </w:pPr>
            <w:r>
              <w:rPr>
                <w:sz w:val="20"/>
              </w:rPr>
              <w:t>Natalie Wilmore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5" w:type="dxa"/>
            <w:tcBorders/>
            <w:shd w:fill="CCEEFF" w:val="clear"/>
            <w:tcMar>
              <w:bottom w:w="0" w:type="dxa"/>
            </w:tcMar>
            <w:vAlign w:val="center"/>
          </w:tcPr>
          <w:p>
            <w:pPr>
              <w:pStyle w:val="TableContents"/>
              <w:bidi w:val="0"/>
              <w:spacing w:before="0" w:after="283"/>
              <w:jc w:val="left"/>
              <w:rPr>
                <w:sz w:val="20"/>
              </w:rPr>
            </w:pPr>
            <w:r>
              <w:rPr>
                <w:sz w:val="20"/>
              </w:rPr>
              <w:t>Weston, Connecticut, 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283"/>
              <w:jc w:val="left"/>
              <w:rPr>
                <w:sz w:val="20"/>
              </w:rPr>
            </w:pPr>
            <w:r>
              <w:rPr>
                <w:sz w:val="20"/>
              </w:rPr>
              <w:t>Chief Legal Officer</w:t>
            </w:r>
          </w:p>
        </w:tc>
      </w:tr>
      <w:tr>
        <w:trPr/>
        <w:tc>
          <w:tcPr>
            <w:tcW w:w="2525" w:type="dxa"/>
            <w:tcBorders/>
            <w:shd w:fill="FFFFFF" w:val="clear"/>
            <w:tcMar>
              <w:bottom w:w="0" w:type="dxa"/>
            </w:tcMar>
            <w:vAlign w:val="center"/>
          </w:tcPr>
          <w:p>
            <w:pPr>
              <w:pStyle w:val="TableContents"/>
              <w:bidi w:val="0"/>
              <w:spacing w:before="0" w:after="283"/>
              <w:jc w:val="both"/>
              <w:rPr>
                <w:sz w:val="20"/>
              </w:rPr>
            </w:pPr>
            <w:r>
              <w:rPr>
                <w:sz w:val="20"/>
              </w:rPr>
              <w:t>Rafal Janik</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5" w:type="dxa"/>
            <w:tcBorders/>
            <w:shd w:fill="FFFFFF" w:val="clear"/>
            <w:tcMar>
              <w:bottom w:w="0" w:type="dxa"/>
            </w:tcMar>
            <w:vAlign w:val="center"/>
          </w:tcPr>
          <w:p>
            <w:pPr>
              <w:pStyle w:val="TableContents"/>
              <w:bidi w:val="0"/>
              <w:spacing w:before="0" w:after="283"/>
              <w:jc w:val="left"/>
              <w:rPr>
                <w:sz w:val="20"/>
              </w:rPr>
            </w:pPr>
            <w:r>
              <w:rPr>
                <w:sz w:val="20"/>
              </w:rPr>
              <w:t>Toronto, Ontario, Canada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5" w:type="dxa"/>
            <w:tcBorders/>
            <w:shd w:fill="FFFFFF" w:val="clear"/>
            <w:tcMar>
              <w:bottom w:w="0" w:type="dxa"/>
            </w:tcMar>
            <w:vAlign w:val="center"/>
          </w:tcPr>
          <w:p>
            <w:pPr>
              <w:pStyle w:val="TableContents"/>
              <w:bidi w:val="0"/>
              <w:spacing w:before="0" w:after="283"/>
              <w:jc w:val="left"/>
              <w:rPr>
                <w:sz w:val="20"/>
              </w:rPr>
            </w:pPr>
            <w:r>
              <w:rPr>
                <w:sz w:val="20"/>
              </w:rPr>
              <w:t>Chief Operating Officer</w:t>
            </w:r>
          </w:p>
        </w:tc>
      </w:tr>
      <w:tr>
        <w:trPr/>
        <w:tc>
          <w:tcPr>
            <w:tcW w:w="2525" w:type="dxa"/>
            <w:tcBorders/>
            <w:shd w:fill="CCEEFF" w:val="clear"/>
            <w:tcMar>
              <w:bottom w:w="0" w:type="dxa"/>
            </w:tcMar>
            <w:vAlign w:val="center"/>
          </w:tcPr>
          <w:p>
            <w:pPr>
              <w:pStyle w:val="TableContents"/>
              <w:bidi w:val="0"/>
              <w:spacing w:before="0" w:after="283"/>
              <w:jc w:val="both"/>
              <w:rPr>
                <w:sz w:val="20"/>
              </w:rPr>
            </w:pPr>
            <w:r>
              <w:rPr>
                <w:sz w:val="20"/>
              </w:rPr>
              <w:t>Rebecca Laramée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5" w:type="dxa"/>
            <w:tcBorders/>
            <w:shd w:fill="CCEEFF" w:val="clear"/>
            <w:tcMar>
              <w:bottom w:w="0" w:type="dxa"/>
            </w:tcMar>
            <w:vAlign w:val="center"/>
          </w:tcPr>
          <w:p>
            <w:pPr>
              <w:pStyle w:val="TableContents"/>
              <w:bidi w:val="0"/>
              <w:spacing w:before="0" w:after="283"/>
              <w:jc w:val="left"/>
              <w:rPr>
                <w:sz w:val="20"/>
              </w:rPr>
            </w:pPr>
            <w:r>
              <w:rPr>
                <w:sz w:val="20"/>
              </w:rPr>
              <w:t>Toronto, Ontario, Canada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283"/>
              <w:jc w:val="left"/>
              <w:rPr>
                <w:sz w:val="20"/>
              </w:rPr>
            </w:pPr>
            <w:r>
              <w:rPr>
                <w:sz w:val="20"/>
              </w:rPr>
              <w:t>Chief People Officer</w:t>
            </w:r>
          </w:p>
        </w:tc>
      </w:tr>
      <w:tr>
        <w:trPr/>
        <w:tc>
          <w:tcPr>
            <w:tcW w:w="2525" w:type="dxa"/>
            <w:tcBorders/>
            <w:shd w:fill="FFFFFF" w:val="clear"/>
            <w:tcMar>
              <w:bottom w:w="0" w:type="dxa"/>
            </w:tcMar>
            <w:vAlign w:val="center"/>
          </w:tcPr>
          <w:p>
            <w:pPr>
              <w:pStyle w:val="TableContents"/>
              <w:bidi w:val="0"/>
              <w:spacing w:before="0" w:after="283"/>
              <w:jc w:val="left"/>
              <w:rPr>
                <w:b/>
                <w:sz w:val="20"/>
              </w:rPr>
            </w:pPr>
            <w:r>
              <w:rPr>
                <w:b/>
                <w:sz w:val="20"/>
              </w:rPr>
              <w:t>Non-Employee Directors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5" w:type="dxa"/>
            <w:tcBorders/>
            <w:shd w:fill="FFFFFF" w:val="clear"/>
            <w:tcMar>
              <w:bottom w:w="0" w:type="dxa"/>
            </w:tcMar>
            <w:vAlign w:val="center"/>
          </w:tcPr>
          <w:p>
            <w:pPr>
              <w:pStyle w:val="TableContents"/>
              <w:bidi w:val="0"/>
              <w:spacing w:before="0" w:after="283"/>
              <w:jc w:val="left"/>
              <w:rPr/>
            </w:pPr>
            <w:r>
              <w:rPr/>
              <w:t> </w:t>
            </w:r>
          </w:p>
        </w:tc>
      </w:tr>
      <w:tr>
        <w:trPr/>
        <w:tc>
          <w:tcPr>
            <w:tcW w:w="2525" w:type="dxa"/>
            <w:tcBorders/>
            <w:shd w:fill="CCEEFF" w:val="clear"/>
            <w:tcMar>
              <w:bottom w:w="0" w:type="dxa"/>
            </w:tcMar>
            <w:vAlign w:val="center"/>
          </w:tcPr>
          <w:p>
            <w:pPr>
              <w:pStyle w:val="TableContents"/>
              <w:bidi w:val="0"/>
              <w:spacing w:before="0" w:after="283"/>
              <w:jc w:val="left"/>
              <w:rPr>
                <w:sz w:val="20"/>
              </w:rPr>
            </w:pPr>
            <w:r>
              <w:rPr>
                <w:sz w:val="20"/>
              </w:rPr>
              <w:t>Eliot Pence</w:t>
            </w:r>
            <w:r>
              <w:rPr>
                <w:position w:val="7"/>
                <w:sz w:val="16"/>
                <w:sz w:val="20"/>
              </w:rPr>
              <w:t>(3)(4)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5" w:type="dxa"/>
            <w:tcBorders/>
            <w:shd w:fill="CCEEFF" w:val="clear"/>
            <w:tcMar>
              <w:bottom w:w="0" w:type="dxa"/>
            </w:tcMar>
            <w:vAlign w:val="center"/>
          </w:tcPr>
          <w:p>
            <w:pPr>
              <w:pStyle w:val="TableContents"/>
              <w:bidi w:val="0"/>
              <w:spacing w:before="0" w:after="283"/>
              <w:jc w:val="left"/>
              <w:rPr>
                <w:sz w:val="20"/>
              </w:rPr>
            </w:pPr>
            <w:r>
              <w:rPr>
                <w:sz w:val="20"/>
              </w:rPr>
              <w:t>Washington, District of Columbia, 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283"/>
              <w:jc w:val="left"/>
              <w:rPr>
                <w:sz w:val="20"/>
              </w:rPr>
            </w:pPr>
            <w:r>
              <w:rPr>
                <w:sz w:val="20"/>
              </w:rPr>
              <w:t>Director</w:t>
            </w:r>
          </w:p>
        </w:tc>
      </w:tr>
      <w:tr>
        <w:trPr/>
        <w:tc>
          <w:tcPr>
            <w:tcW w:w="2525" w:type="dxa"/>
            <w:tcBorders/>
            <w:shd w:fill="FFFFFF" w:val="clear"/>
            <w:tcMar>
              <w:bottom w:w="0" w:type="dxa"/>
            </w:tcMar>
            <w:vAlign w:val="center"/>
          </w:tcPr>
          <w:p>
            <w:pPr>
              <w:pStyle w:val="TableContents"/>
              <w:bidi w:val="0"/>
              <w:spacing w:before="0" w:after="283"/>
              <w:jc w:val="both"/>
              <w:rPr>
                <w:sz w:val="20"/>
              </w:rPr>
            </w:pPr>
            <w:r>
              <w:rPr>
                <w:sz w:val="20"/>
              </w:rPr>
              <w:t>Glenda Dorchak</w:t>
            </w:r>
            <w:r>
              <w:rPr>
                <w:position w:val="7"/>
                <w:sz w:val="16"/>
                <w:sz w:val="20"/>
              </w:rPr>
              <w:t>(2)(3)(5)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5" w:type="dxa"/>
            <w:tcBorders/>
            <w:shd w:fill="FFFFFF" w:val="clear"/>
            <w:tcMar>
              <w:bottom w:w="0" w:type="dxa"/>
            </w:tcMar>
            <w:vAlign w:val="center"/>
          </w:tcPr>
          <w:p>
            <w:pPr>
              <w:pStyle w:val="TableContents"/>
              <w:bidi w:val="0"/>
              <w:spacing w:before="0" w:after="283"/>
              <w:jc w:val="left"/>
              <w:rPr>
                <w:sz w:val="20"/>
              </w:rPr>
            </w:pPr>
            <w:r>
              <w:rPr>
                <w:sz w:val="20"/>
              </w:rPr>
              <w:t>Los Altos Hills, California, 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5" w:type="dxa"/>
            <w:tcBorders/>
            <w:shd w:fill="FFFFFF" w:val="clear"/>
            <w:tcMar>
              <w:bottom w:w="0" w:type="dxa"/>
            </w:tcMar>
            <w:vAlign w:val="center"/>
          </w:tcPr>
          <w:p>
            <w:pPr>
              <w:pStyle w:val="TableContents"/>
              <w:bidi w:val="0"/>
              <w:spacing w:before="0" w:after="283"/>
              <w:jc w:val="left"/>
              <w:rPr>
                <w:sz w:val="20"/>
              </w:rPr>
            </w:pPr>
            <w:r>
              <w:rPr>
                <w:sz w:val="20"/>
              </w:rPr>
              <w:t>Director</w:t>
            </w:r>
          </w:p>
        </w:tc>
      </w:tr>
      <w:tr>
        <w:trPr/>
        <w:tc>
          <w:tcPr>
            <w:tcW w:w="2525" w:type="dxa"/>
            <w:tcBorders/>
            <w:shd w:fill="CCEEFF" w:val="clear"/>
            <w:tcMar>
              <w:bottom w:w="0" w:type="dxa"/>
            </w:tcMar>
            <w:vAlign w:val="center"/>
          </w:tcPr>
          <w:p>
            <w:pPr>
              <w:pStyle w:val="TableContents"/>
              <w:bidi w:val="0"/>
              <w:spacing w:before="0" w:after="283"/>
              <w:jc w:val="both"/>
              <w:rPr>
                <w:sz w:val="20"/>
              </w:rPr>
            </w:pPr>
            <w:r>
              <w:rPr>
                <w:sz w:val="20"/>
              </w:rPr>
              <w:t>Heidi Shyu</w:t>
            </w:r>
            <w:r>
              <w:rPr>
                <w:position w:val="7"/>
                <w:sz w:val="16"/>
                <w:sz w:val="20"/>
              </w:rPr>
              <w:t>(3)(5)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5" w:type="dxa"/>
            <w:tcBorders/>
            <w:shd w:fill="CCEEFF" w:val="clear"/>
            <w:tcMar>
              <w:bottom w:w="0" w:type="dxa"/>
            </w:tcMar>
            <w:vAlign w:val="center"/>
          </w:tcPr>
          <w:p>
            <w:pPr>
              <w:pStyle w:val="TableContents"/>
              <w:bidi w:val="0"/>
              <w:spacing w:before="0" w:after="283"/>
              <w:jc w:val="left"/>
              <w:rPr>
                <w:sz w:val="20"/>
              </w:rPr>
            </w:pPr>
            <w:r>
              <w:rPr>
                <w:sz w:val="20"/>
              </w:rPr>
              <w:t>Arlington, Virginia, 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283"/>
              <w:jc w:val="left"/>
              <w:rPr>
                <w:sz w:val="20"/>
              </w:rPr>
            </w:pPr>
            <w:r>
              <w:rPr>
                <w:sz w:val="20"/>
              </w:rPr>
              <w:t>Director</w:t>
            </w:r>
          </w:p>
        </w:tc>
      </w:tr>
      <w:tr>
        <w:trPr/>
        <w:tc>
          <w:tcPr>
            <w:tcW w:w="2525" w:type="dxa"/>
            <w:tcBorders/>
            <w:shd w:fill="FFFFFF" w:val="clear"/>
            <w:tcMar>
              <w:bottom w:w="0" w:type="dxa"/>
            </w:tcMar>
            <w:vAlign w:val="center"/>
          </w:tcPr>
          <w:p>
            <w:pPr>
              <w:pStyle w:val="TableContents"/>
              <w:bidi w:val="0"/>
              <w:spacing w:before="0" w:after="283"/>
              <w:jc w:val="both"/>
              <w:rPr>
                <w:sz w:val="20"/>
              </w:rPr>
            </w:pPr>
            <w:r>
              <w:rPr>
                <w:sz w:val="20"/>
              </w:rPr>
              <w:t>Michelle Reynolds</w:t>
            </w:r>
            <w:r>
              <w:rPr>
                <w:position w:val="7"/>
                <w:sz w:val="16"/>
                <w:sz w:val="20"/>
              </w:rPr>
              <w:t>(3)(4)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5" w:type="dxa"/>
            <w:tcBorders/>
            <w:shd w:fill="FFFFFF" w:val="clear"/>
            <w:tcMar>
              <w:bottom w:w="0" w:type="dxa"/>
            </w:tcMar>
            <w:vAlign w:val="center"/>
          </w:tcPr>
          <w:p>
            <w:pPr>
              <w:pStyle w:val="TableContents"/>
              <w:bidi w:val="0"/>
              <w:spacing w:before="0" w:after="283"/>
              <w:jc w:val="left"/>
              <w:rPr>
                <w:sz w:val="20"/>
              </w:rPr>
            </w:pPr>
            <w:r>
              <w:rPr>
                <w:sz w:val="20"/>
              </w:rPr>
              <w:t>Cincinnati, Ohio, 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5" w:type="dxa"/>
            <w:tcBorders/>
            <w:shd w:fill="FFFFFF" w:val="clear"/>
            <w:tcMar>
              <w:bottom w:w="0" w:type="dxa"/>
            </w:tcMar>
            <w:vAlign w:val="center"/>
          </w:tcPr>
          <w:p>
            <w:pPr>
              <w:pStyle w:val="TableContents"/>
              <w:bidi w:val="0"/>
              <w:spacing w:before="0" w:after="283"/>
              <w:jc w:val="left"/>
              <w:rPr>
                <w:sz w:val="20"/>
              </w:rPr>
            </w:pPr>
            <w:r>
              <w:rPr>
                <w:sz w:val="20"/>
              </w:rPr>
              <w:t>Director</w:t>
            </w:r>
          </w:p>
        </w:tc>
      </w:tr>
      <w:tr>
        <w:trPr/>
        <w:tc>
          <w:tcPr>
            <w:tcW w:w="2525" w:type="dxa"/>
            <w:tcBorders/>
            <w:shd w:fill="CCEEFF" w:val="clear"/>
            <w:tcMar>
              <w:bottom w:w="0" w:type="dxa"/>
            </w:tcMar>
            <w:vAlign w:val="center"/>
          </w:tcPr>
          <w:p>
            <w:pPr>
              <w:pStyle w:val="TableContents"/>
              <w:bidi w:val="0"/>
              <w:spacing w:before="0" w:after="283"/>
              <w:jc w:val="both"/>
              <w:rPr>
                <w:sz w:val="20"/>
              </w:rPr>
            </w:pPr>
            <w:r>
              <w:rPr>
                <w:sz w:val="20"/>
              </w:rPr>
              <w:t>William (Bill) I. Fradin</w:t>
            </w:r>
            <w:r>
              <w:rPr>
                <w:position w:val="7"/>
                <w:sz w:val="16"/>
                <w:sz w:val="20"/>
              </w:rPr>
              <w:t>(3)(4)(5)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5" w:type="dxa"/>
            <w:tcBorders/>
            <w:shd w:fill="CCEEFF" w:val="clear"/>
            <w:tcMar>
              <w:bottom w:w="0" w:type="dxa"/>
            </w:tcMar>
            <w:vAlign w:val="center"/>
          </w:tcPr>
          <w:p>
            <w:pPr>
              <w:pStyle w:val="TableContents"/>
              <w:bidi w:val="0"/>
              <w:spacing w:before="0" w:after="283"/>
              <w:jc w:val="left"/>
              <w:rPr>
                <w:sz w:val="20"/>
              </w:rPr>
            </w:pPr>
            <w:r>
              <w:rPr>
                <w:sz w:val="20"/>
              </w:rPr>
              <w:t>New York, New York, 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283"/>
              <w:jc w:val="left"/>
              <w:rPr>
                <w:sz w:val="20"/>
              </w:rPr>
            </w:pPr>
            <w:r>
              <w:rPr>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tbl>
      <w:tblPr>
        <w:tblW w:w="2170" w:type="dxa"/>
        <w:jc w:val="left"/>
        <w:tblInd w:w="0" w:type="dxa"/>
        <w:tblLayout w:type="fixed"/>
        <w:tblCellMar>
          <w:top w:w="0" w:type="dxa"/>
          <w:left w:w="0" w:type="dxa"/>
          <w:bottom w:w="0" w:type="dxa"/>
          <w:right w:w="0" w:type="dxa"/>
        </w:tblCellMar>
      </w:tblPr>
      <w:tblGrid>
        <w:gridCol w:w="305"/>
        <w:gridCol w:w="1865"/>
      </w:tblGrid>
      <w:tr>
        <w:trPr/>
        <w:tc>
          <w:tcPr>
            <w:tcW w:w="305" w:type="dxa"/>
            <w:tcBorders/>
            <w:vAlign w:val="center"/>
          </w:tcPr>
          <w:p>
            <w:pPr>
              <w:pStyle w:val="TableContents"/>
              <w:bidi w:val="0"/>
              <w:spacing w:before="0" w:after="283"/>
              <w:jc w:val="left"/>
              <w:rPr/>
            </w:pPr>
            <w:r>
              <w:rPr/>
              <w:t>(1)</w:t>
            </w:r>
          </w:p>
        </w:tc>
        <w:tc>
          <w:tcPr>
            <w:tcW w:w="1865" w:type="dxa"/>
            <w:tcBorders/>
            <w:vAlign w:val="center"/>
          </w:tcPr>
          <w:p>
            <w:pPr>
              <w:pStyle w:val="TableContents"/>
              <w:bidi w:val="0"/>
              <w:spacing w:before="0" w:after="283"/>
              <w:jc w:val="both"/>
              <w:rPr/>
            </w:pPr>
            <w:r>
              <w:rPr/>
              <w:t>Chair of the Board.</w:t>
            </w:r>
          </w:p>
        </w:tc>
      </w:tr>
    </w:tbl>
    <w:p>
      <w:pPr>
        <w:pStyle w:val="TextBody"/>
        <w:bidi w:val="0"/>
        <w:spacing w:before="0" w:after="0"/>
        <w:ind w:left="360" w:right="0" w:hanging="360"/>
        <w:jc w:val="both"/>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305"/>
        <w:gridCol w:w="2645"/>
      </w:tblGrid>
      <w:tr>
        <w:trPr/>
        <w:tc>
          <w:tcPr>
            <w:tcW w:w="305" w:type="dxa"/>
            <w:tcBorders/>
            <w:vAlign w:val="center"/>
          </w:tcPr>
          <w:p>
            <w:pPr>
              <w:pStyle w:val="TableContents"/>
              <w:bidi w:val="0"/>
              <w:spacing w:before="0" w:after="283"/>
              <w:jc w:val="left"/>
              <w:rPr/>
            </w:pPr>
            <w:r>
              <w:rPr/>
              <w:t>(2)</w:t>
            </w:r>
          </w:p>
        </w:tc>
        <w:tc>
          <w:tcPr>
            <w:tcW w:w="2645" w:type="dxa"/>
            <w:tcBorders/>
            <w:vAlign w:val="center"/>
          </w:tcPr>
          <w:p>
            <w:pPr>
              <w:pStyle w:val="TableContents"/>
              <w:bidi w:val="0"/>
              <w:spacing w:before="0" w:after="283"/>
              <w:jc w:val="both"/>
              <w:rPr/>
            </w:pPr>
            <w:r>
              <w:rPr/>
              <w:t>Lead Independent Director.</w:t>
            </w:r>
          </w:p>
        </w:tc>
      </w:tr>
    </w:tbl>
    <w:p>
      <w:pPr>
        <w:pStyle w:val="TextBody"/>
        <w:bidi w:val="0"/>
        <w:spacing w:before="0" w:after="0"/>
        <w:ind w:left="360" w:right="0" w:hanging="360"/>
        <w:jc w:val="both"/>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305"/>
        <w:gridCol w:w="7445"/>
      </w:tblGrid>
      <w:tr>
        <w:trPr/>
        <w:tc>
          <w:tcPr>
            <w:tcW w:w="305" w:type="dxa"/>
            <w:tcBorders/>
            <w:vAlign w:val="center"/>
          </w:tcPr>
          <w:p>
            <w:pPr>
              <w:pStyle w:val="TableContents"/>
              <w:bidi w:val="0"/>
              <w:spacing w:before="0" w:after="283"/>
              <w:jc w:val="left"/>
              <w:rPr/>
            </w:pPr>
            <w:r>
              <w:rPr/>
              <w:t>(3)</w:t>
            </w:r>
          </w:p>
        </w:tc>
        <w:tc>
          <w:tcPr>
            <w:tcW w:w="7445" w:type="dxa"/>
            <w:tcBorders/>
            <w:vAlign w:val="center"/>
          </w:tcPr>
          <w:p>
            <w:pPr>
              <w:pStyle w:val="TableContents"/>
              <w:bidi w:val="0"/>
              <w:spacing w:before="0" w:after="283"/>
              <w:jc w:val="both"/>
              <w:rPr/>
            </w:pPr>
            <w:r>
              <w:rPr/>
              <w:t>Appointed to serve as a director in connection with the Business Combination.</w:t>
            </w:r>
          </w:p>
        </w:tc>
      </w:tr>
    </w:tbl>
    <w:p>
      <w:pPr>
        <w:pStyle w:val="TextBody"/>
        <w:bidi w:val="0"/>
        <w:spacing w:before="0" w:after="0"/>
        <w:ind w:left="360" w:right="0" w:hanging="360"/>
        <w:jc w:val="both"/>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305"/>
        <w:gridCol w:w="8405"/>
      </w:tblGrid>
      <w:tr>
        <w:trPr/>
        <w:tc>
          <w:tcPr>
            <w:tcW w:w="305" w:type="dxa"/>
            <w:tcBorders/>
            <w:vAlign w:val="center"/>
          </w:tcPr>
          <w:p>
            <w:pPr>
              <w:pStyle w:val="TableContents"/>
              <w:bidi w:val="0"/>
              <w:spacing w:before="0" w:after="283"/>
              <w:jc w:val="left"/>
              <w:rPr/>
            </w:pPr>
            <w:r>
              <w:rPr/>
              <w:t>(4)</w:t>
            </w:r>
          </w:p>
        </w:tc>
        <w:tc>
          <w:tcPr>
            <w:tcW w:w="8405" w:type="dxa"/>
            <w:tcBorders/>
            <w:vAlign w:val="center"/>
          </w:tcPr>
          <w:p>
            <w:pPr>
              <w:pStyle w:val="TableContents"/>
              <w:bidi w:val="0"/>
              <w:spacing w:before="0" w:after="283"/>
              <w:jc w:val="both"/>
              <w:rPr/>
            </w:pPr>
            <w:r>
              <w:rPr/>
              <w:t>Member of the Audit Committee. Ms. Reynolds serves as Chair of the Audit Committee.</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(5)</w:t>
            </w:r>
          </w:p>
        </w:tc>
        <w:tc>
          <w:tcPr>
            <w:tcW w:w="9930" w:type="dxa"/>
            <w:tcBorders/>
            <w:vAlign w:val="center"/>
          </w:tcPr>
          <w:p>
            <w:pPr>
              <w:pStyle w:val="TableContents"/>
              <w:bidi w:val="0"/>
              <w:spacing w:before="0" w:after="283"/>
              <w:jc w:val="both"/>
              <w:rPr/>
            </w:pPr>
            <w:r>
              <w:rPr/>
              <w:t>Member of the Governance, Compensation and Nominating Committee. Ms. Dorchak serves as Chair of the Governance, Compensation and Nominating Committee.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Christian Weedbrook. </w:t>
      </w:r>
      <w:r>
        <w:rPr>
          <w:rFonts w:ascii="Times New Roman;Times;Serif" w:hAnsi="Times New Roman;Times;Serif"/>
          <w:b w:val="false"/>
          <w:i w:val="false"/>
          <w:caps w:val="false"/>
          <w:smallCaps w:val="false"/>
          <w:sz w:val="20"/>
        </w:rPr>
        <w:t>Mr. Weedbrook is our founder and has served as the Chief Executive Officer and a member of the board of directors of Old Xanadu since September 2016 and as our Chairman and Chief Executive Officer since our incorporation in October 2025. Prior to Old Xanadu, Mr. Weedbrook was a postdoctoral research fellow at the Massachusetts Institute of Technology and the University of Toronto. Mr. Weedbrook has over a decade of industry, government and research experience in quantum computing. Mr. Weedbrook received a B.S. from the University of Queensland and a Ph.D. from the University of Queensland.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Mr. Weedbrook is qualified to serve on our Board because of his extensive experience in quantum computing and as our founder, Chief Executive Officer and board member.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Michael Trzupek.</w:t>
      </w:r>
      <w:r>
        <w:rPr>
          <w:rFonts w:ascii="Times New Roman;Times;Serif" w:hAnsi="Times New Roman;Times;Serif"/>
          <w:b w:val="false"/>
          <w:i w:val="false"/>
          <w:caps w:val="false"/>
          <w:smallCaps w:val="false"/>
          <w:sz w:val="20"/>
        </w:rPr>
        <w:t xml:space="preserve"> Mr. Trzupek has served as our Chief Financial Officer since January 2026. Prior to Xanadu, Mr. Trzupek served as the Chief Financial Officer for Imagination Technologies Group Limited, a semiconductor and software design company based in the United Kingdom since May 2022 to December 2025, and as the Chief Financial Officer of Core Scientific, Inc. (Nasdaq: CORZ), one of the largest digital asset mining infrastructure providers in North America, from September 2020 to April 2022. Prior to those roles, Mr. Trzupek served as the Chief Financial Officer of Premera Blue Cross, Washington’s leading health plan, from February 2019 to June 2020. Mr. Trzupek previously served as Group Vice President for Providence St. Joseph Health System, a not-for-profit faith-based health care provider, from November 2015 to February 2017, and various financial positions at Microsoft Corporation (Nasdaq: MSFT) from March 2007 to October 2014, a multinational technology company, including as General Manager of Finance and General Manager of Venture Integration, focusing on business planning for the company’s hardware products, including Xbox and Surface. Mr. Trzupek began his financial career at Intel Corporation (Nasdaq: INTC), where he served in various financial positions from June 1997 to March 2007, including as Senior Controller of Systems Materials and Manufacturing. Mr. Trzupek has also served as a board member for CaliberCos Inc. (Nasdaq: CWD), a private equity real estate investment firm, since May 2023, and has been a member of its advisory board since May 2019. Mr. Trzupek received his B.S. in chemical engineering from the University of Illinois Urbana-Champaign and an M.B.A. from the University of Chicago.</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116</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Natalie Wilmore.</w:t>
      </w:r>
      <w:r>
        <w:rPr>
          <w:rFonts w:ascii="Times New Roman;Times;Serif" w:hAnsi="Times New Roman;Times;Serif"/>
          <w:b w:val="false"/>
          <w:i w:val="false"/>
          <w:caps w:val="false"/>
          <w:smallCaps w:val="false"/>
          <w:sz w:val="20"/>
        </w:rPr>
        <w:t xml:space="preserve"> Ms. Wilmore has served as our Chief Legal Officer since January 2026. Prior to Xanadu, Ms. Wilmore served as Vice President, Deputy General Counsel and Corporate Secretary at Pagaya Technologies Ltd. (Nasdaq: PGY), a global financial services technology company using machine learning, a vast data network and a sophisticated AI-driven approach to provide comprehensive consumer credit and residential real estate products from April 2024 to January 2026, Senior Vice President, Assistant Corporate Secretary, and Associate General Counsel at TelevisaUnivision, Inc., a Spanish-language media company, from November 2022 to August 2023, Head of Corporate, Securities and Compliance, and Assistant Corporate Secretary at Skillz Inc. (NYSE: SKLZ), a mobile gaming platform, from April 2021 to November 2022, and Counsel, Securities and Corporate Governance, and Senior Attorney at International Business Machines Corporation (NYSE: IBM) (“IBM”), a provider of global hybrid cloud and AI, and consulting expertise from June 2017 to April 2021. Ms. Wilmore received a B.A. in politics and romance languages from New York University and a J.D. from New York University School of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Rafal Janik. </w:t>
      </w:r>
      <w:r>
        <w:rPr>
          <w:rFonts w:ascii="Times New Roman;Times;Serif" w:hAnsi="Times New Roman;Times;Serif"/>
          <w:b w:val="false"/>
          <w:i w:val="false"/>
          <w:caps w:val="false"/>
          <w:smallCaps w:val="false"/>
          <w:sz w:val="20"/>
        </w:rPr>
        <w:t>Mr. Janik has served as our Chief Operating Officer since July 2022, and previously as Head of Product from October 2019 to July 2022 and as Machine Learning Lead from April 2019 to October 2019. Prior to Xanadu, Mr. Janik served as Principal Data Scientist (North America) for VDM-Labs, an information technology consulting company, from January 2018 to April 2019, as an independent contractor for Adaxa Technology, a healthcare software company, from October 2016 to January 2018 and as a sole proprietor consultant from January 2012 to January 2018. Mr. Janik received a B.S. in physics from the University of Guelph and a M.S. in biophysics from the University of Guelph in 2008.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Rebecca Laramée. </w:t>
      </w:r>
      <w:r>
        <w:rPr>
          <w:rFonts w:ascii="Times New Roman;Times;Serif" w:hAnsi="Times New Roman;Times;Serif"/>
          <w:b w:val="false"/>
          <w:i w:val="false"/>
          <w:caps w:val="false"/>
          <w:smallCaps w:val="false"/>
          <w:sz w:val="20"/>
        </w:rPr>
        <w:t>Ms. Laramée has served as our Chief People Officer since January 2024, as the Head of Human Resources from January 2020 to January 2024, and as Human Resources Consultant from September 2019 to January 2020. Prior to Xanadu, Ms. Laramée served as a sole proprietor human resources consultant from January 2018 to September 2019, as a member of the human resources department of the Ontario Securities Commission, a regulatory agency, from June 2017 to November 2017, and as a member of the human resources department of Mount Sinai Hospital (Sinai Health Systems), a medical organization, from June 2012 to September 2016. Ms. Laramée received an HBSc in biology and physiology from the University of Toronto and completed post-graduate courses in human resources management at Seneca College (Polytechnic).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Non-Employee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Eliot Pence. </w:t>
      </w:r>
      <w:r>
        <w:rPr>
          <w:rFonts w:ascii="Times New Roman;Times;Serif" w:hAnsi="Times New Roman;Times;Serif"/>
          <w:b w:val="false"/>
          <w:i w:val="false"/>
          <w:caps w:val="false"/>
          <w:smallCaps w:val="false"/>
          <w:sz w:val="20"/>
        </w:rPr>
        <w:t>Mr. Pence has served as a member of our Board since March 2026. Mr. Pence has served as Chief Executive Officer and Founder of Dominion Dynamics Inc., a defense firm working to establish sovereign capability in aerospace, autonomy, and command-and-control, since June 2025. Mr. Pence was also a co-founder of Supply Energetics, Inc., a manufacturer of energetic materials, since 2024, and served as General Partner at Tofino Capital, an early-stage investor in frontier market technology companies, since 2022. From 2024 to 2025, Mr. Pence served as the Chief Business Officer at Osmo Labs, PBC, an artificial intelligence company, and from 2022 to 2024, he served as the Chief Commercial Officer of Cambium Biomaterials, Inc., a defense technology company. Previously, he was the Head of International at Anduril Industries, Inc., a defense technology company that specializes in advanced autonomous systems, from 2018 to 2022, and a senior director at McLarty Associates, the Washington, DC-based advisory firm from 2013 to 2018. Mr. Pence currently serves on the U.S. Trade Representative’s Advisory Committee and the Yale University President’s Council on International Activities. Mr. Pence earned his M.A. from Yale University and his B.A. from the University of Victoria.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Mr. Pence is qualified to serve as a member of our Board because of his extensive executive leadership and international operations experience.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117</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Glenda Dorchak. </w:t>
      </w:r>
      <w:r>
        <w:rPr>
          <w:rFonts w:ascii="Times New Roman;Times;Serif" w:hAnsi="Times New Roman;Times;Serif"/>
          <w:b w:val="false"/>
          <w:i w:val="false"/>
          <w:caps w:val="false"/>
          <w:smallCaps w:val="false"/>
          <w:sz w:val="20"/>
        </w:rPr>
        <w:t>Ms. Dorchak has served as a member of our Board since March 2026. Ms. Dorchak has spent over thirty years in operational leadership roles in the technology industry and since 2009 has served as a trusted advisor and board member to public and private technology companies. Her corporate executive experience includes IBM Corporation, where she held several general management positions over 22 years, Intel Corporation for five years as Vice President with positions including Chief Operating Officer Intel Communications Group and Group General Manager Broadband and Consumer Electronics Groups; and Spansion Inc., for three years as Executive Vice President and Global General Manager. She also served as Chief Executive Officer at Value America and Intrinsyc Software. Ms. Dorchak currently serves as an independent director on the boards of Global Foundries Inc. (Nasdaq: GFS) a semiconductor foundry company since May 2019 where she is the chair of the Nominating and Governance Committee and a member of the Audit and Risk Committee. Ms. Dorchak also previously served as an independent director on the boards of directors for Ansys Inc., (Nasdaq: ANSS), a software company, from July 2018 to July 2025, Wolfspeed, Inc. (NYSE: WOLF), a semiconductor company, from January 2020 to July 2025; Viavi Solutions Inc. (Nasdaq: VIAV), a network test, monitoring and assurance company, from November 2019 to October 2021, Mellanox Technologies Ltd. (Nasdaq: MLNX), a multinational supplier of computer networking products from June 2009 to April 2020, Quantenna Communications (Nasdaq: QNTA), a pioneer in high-performance Wi-Fi semiconductor solutions, from June 2018 to July 2019, Energy Focus, Inc. (Nasdaq: EFOI), a technology innovation leader in energy-efficient LED lighting solutions from July 2015 to February 2019, and Intrinsyc Technologies Corporation (TSX: ITC), a trusted provider of high-performance engineering, software, and IT solutions for government and commercial partner from July 2006 to November 2008.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Ms. Dorchak is qualified to serve as a member of our Board because of her experience in technology and as an executive and director of public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Heidi Shyu. </w:t>
      </w:r>
      <w:r>
        <w:rPr>
          <w:rFonts w:ascii="Times New Roman;Times;Serif" w:hAnsi="Times New Roman;Times;Serif"/>
          <w:b w:val="false"/>
          <w:i w:val="false"/>
          <w:caps w:val="false"/>
          <w:smallCaps w:val="false"/>
          <w:sz w:val="20"/>
        </w:rPr>
        <w:t>Ms. Shyu has served as a member of our Board since March 2026. Ms. Shyu has served as President and Chief Executive Officer of Honorable Heidi Shyu, LLC, an aerospace and defense consulting company, since February 2025. Prior to Honorable Heidi Shyu, LLC, Ms. Shyu served as the Undersecretary of Defense for Research &amp; Engineering at the United States Department of Defense from July 2021 to January 2025, President and Chief Executive Officer of Heidi Shyu Inc., an aerospace and defense consulting company, from February 2016 to July 2021, Assistant Secretary of the United States Army for Acquisition, Logistics &amp; Technology and other roles with the United States Army, from 2010 to 2016, and prior to that, in various leadership roles at Raytheon Company, a defense contractor, and Hughes Aircraft Company, an aerospace and defense contractor. Ms. Shyu received her B.Sc. in Mathematics from the University of New Brunswick, an M.S. in Mathematics from the University of Toronto, an M.S. in Systems Science from the University of California, Los Angeles, an Engineer’s Degree from the University of California, Los Angeles and an Honorary Doctor of Science from the University of New Brunswick.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Ms. Shyu is qualified to serve as a member of our Board because of her extensive experience in government, technology, strategy, and research and development.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Michelle Reynolds.</w:t>
      </w:r>
      <w:r>
        <w:rPr>
          <w:rFonts w:ascii="Times New Roman;Times;Serif" w:hAnsi="Times New Roman;Times;Serif"/>
          <w:b w:val="false"/>
          <w:i w:val="false"/>
          <w:caps w:val="false"/>
          <w:smallCaps w:val="false"/>
          <w:sz w:val="20"/>
        </w:rPr>
        <w:t xml:space="preserve"> Ms. Reynolds has served as a member of our Board since March 2026. Ms. Reynolds has served as Chief Accounting Officer &amp; Treasurer, Vice President at Reddit, Inc. (NYSE: RDDT), a social media and online community platform, since August 2021. Prior to Reddit, Ms. Reynolds served as Director of Reporting and Consolidations and other positions at Snap Inc. (NYSE: SNAP), a technology and social media company, from April 2016 to August 2021, Group Manager of U.S. Corporate Accounting and other positions at Procter &amp; Gamble (NYSE: PG), a multinational consumer goods corporation, from December 2012 to April 2016, and in Assurance Services as a Certified Public Accountant at Ernst &amp; Young LLP from 2005 to 2012. Ms. Reynolds has also served as a member of the FASB Public Markets Advisory Committee at the Financial Accounting Standards Board since April 2025. Ms. Reynolds received a B.S. in Business in Accountancy from Miami University and is a Certified Public Accountant licensed in Ohio.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Ms. Reynolds is qualified to serve as a member of our Board because of her extensive experience in finance, accounting, and financial reporting.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118</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William (Bill) Fradin. </w:t>
      </w:r>
      <w:r>
        <w:rPr>
          <w:rFonts w:ascii="Times New Roman;Times;Serif" w:hAnsi="Times New Roman;Times;Serif"/>
          <w:b w:val="false"/>
          <w:i w:val="false"/>
          <w:caps w:val="false"/>
          <w:smallCaps w:val="false"/>
          <w:sz w:val="20"/>
        </w:rPr>
        <w:t>Mr. Fradin served as Crane Harbor’s Chief Executive Officer and as a director until the Closing and has served as a member of our Board since March 2026. Mr. Fradin currently serves as Chief Executive Officer and as a director of Crane Harbor Acquisition Corp. II, a special purpose acquisition company. Mr. Fradin brings almost 20 years of finance experience, including expertise in mergers and acquisitions, private equity, venture capital, and special purpose acquisition companies. Mr. Fradin served as Executive Vice President of Osprey Technology Acquisition Corp., a blank check company, from 2019 to 2021, which successfully completed a $1.1 billion merger with BlackSky Technology (NYSE: BKSY) in September 2021. He also served as an Advisor for Juniper Industrial Holdings, Inc., leading its $1.9 billion merger with Janus International Group (NYSE: JBI) in June 2021. Additionally, he served as Chairman and Chief Executive Officer of Juniper II Corp., a blank check company, and advised Broadscale Acquisition Corp., a blank check company. Broadscale Acquisition Corp. and Juniper II Corp. did not complete business combinations and redeemed all outstanding Class A ordinary shares in December 2022 and October 2023, respectively. Since its formation in September 2016, Mr. Fradin has served as Co-Founder and Managing Director at HEPCO Capital Management. HEPCO is a private investment firm that sponsors capital investments in diverse business sectors, particularly real estate, private operating companies and financial investments. Previously, he was an Investment Professional at JLL Partners from 2007 to 2015, a middle market private equity firm. From June 2005 to June 2007, he was an investment banker at Merrill Lynch &amp; Co. Mr. Fradin holds an A.B. from Harvard College and an M.B.A. from the Wharton School of the University of Pennsylvania.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Mr. Fradin is qualified to serve as a member of our Board because of his extensive finance and SPAC experience, combined with his proven ability to originate and execute successful deals across various industries.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 and Other Arrangements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our 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Conflicts of interest are discussed in the section titled “Certain Relationships and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Penalties or Sanctions, Individual Bankruptcies and Corporate Cease Trade Orders and Bankruptcies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directors or executive officers, and to the best of our knowledge, no shareholder that holds a sufficient number of securities to affect materially our control, has been subject to any penalties or sanctions imposed by a court relating to securities legislation or by a securities regulatory authority or has entered into a settlement agreement with a securities regulatory authority or been subject to any other penalties or sanctions imposed by a court or regulatory body that would likely be considered important to a reasonable investor making an investment decision.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directors or executive officers, and to the best of our knowledge, no shareholder that holds a sufficient number of securities to affect materially our control, has, within the 10 years prior to the date of this prospectus, become bankrupt, made a proposal under any legislation relating to bankruptcy or insolvency, or become subject to or instituted any proceedings, arrangement or compromise with creditors, or had a receiver, receiver manager or trustee appointed to hold the assets of that individual.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herein, none of our directors or executive officers, and to the best of our knowledge, no shareholder that holds a sufficient number of securities to affect materially our control is, as at the date of this prospectus, or has been within the 10 years before the date of this prospectus: (a) a director, chief executive officer or chief financial officer of any company that was subject to an order that was issued while the director or executive officer was acting in the capacity as director, chief executive officer or chief financial officer; (b) was subject to an order that was issued after the director or executive officer ceased to be a director, chief executive officer or chief financial officer and which resulted from an event that occurred while that person was acting in the capacity as director, chief executive officer or chief financial officer; or (c) a director or executive officer of any company that, while that person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 For the purposes of this paragraph, “order” means a cease trade order, an order similar to a cease trade order or an order that denied the relevant company access to any exemption under securities legislation, in each case, that was in effect for a period of more than 30 consecutive days.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119</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Trzupek served as Chief Financial Officer of Core Scientific, Inc. from September 2020 to April 2022. In December 2022, Core Scientific, Inc. and certain of its affiliates filed voluntary petitions seeking relief under Chapter 11 of the United States Bankruptcy Code in the United States Bankruptcy Court for the Southern District of Texas. In January 2024, Core Scientific, Inc. emerged from bankruptcy having completed a reorganization pursuant to the United States Bankruptcy Code.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Dorchak served as a director of Wolfspeed, Inc. from January 2020 to July 2025. In June 2025, Wolfspeed, Inc. filed voluntary petitions for reorganization under the United States Bankruptcy Code in the United States Bankruptcy Court for the Southern District of Texas. In September 2025, Wolfspeed, Inc. emerged from Chapter 11 protection having completed a reorganization pursuant to the United States Bankruptcy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Meetings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OBCA and the By-laws, we must hold our first annual meeting of shareholders within 18 months after the date on which we were incorporated, and after that must hold an annual meeting not later than 15 months after the last annual meeting at such time and place in or outside the Province of Ontario. Alternatively, a meeting of shareholders may be held entirely by one or more telephonic or electronic means or by any combination of in-person attendance and by one or more telephonic or electronic means unless the meeting is held entirely by means of a telephonic, electronic or other communication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and Shareholder Ability to Call Shareholder Meetings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meetings of the shareholders may be called by our Board at such time in each year as our Board may from time to time determine. In addition, under the OBCA, the holders of not less than 5% of the issued shares of a corporation that carry the right to vote at a meeting sought to be held may requisition that the directors call a meeting of shareholders for the purposes stated in the requisition. Upon receiving a requisition to call a meeting of shareholders, the directors must, within 21 days after receiving the requisition, call a meeting of shareholders to transact the business stated in the requisition unless a record date has been fixed for a meeting of shareholders and notice of the meeting has been given in accordance with the OBCA; our directors have called a meeting of shareholders and have given notice of the meeting in accordance with the OBCA; or the business of the meeting as stated in the requisition includes certain matters, including, but not limited to, a proposal the primary purpose of which is to enforce a personal claim or redress a personal grievance against the corporation or its directors, officers or security holders. If the directors do not call such a meeting within 21 days after receiving the requisition, any shareholder who signed the requisition may call the meeting. The corporation must reimburse the requisitioning shareholders for the expenses reasonably incurred by them in requisitioning, calling and holding the meeting unless the shareholders have not acted in good faith and in the interest of the shareholders of the corporation generally.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Meeting Quorum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a quorum of shareholders is present at a meeting of shareholders, provided that a quorum shall not be less than two Persons (as defined in the By-laws), if the holders of at least twenty-five percent (25%) of our shares entitled to vote at the meeting are present in person or represented by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OBCA, at any meeting of shareholders at which a quorum is present, any action that must or may be taken or authorized by the shareholders, except as otherwise provided under the OBCA, the Articles or the By-laws, may be taken or authorized by an “ordinary resolution,” which is a simple majority of the votes cast by shareholders voting shares that carry the right to vote at general meetings. The By-laws provide that every motion put to a vote at a meeting of shareholders will be decided by a show of hands unless a ballot is directed by the chair or demanded by any shareholder entitled to vote who is present in person or by proxy, or otherwise required by the OBCA. Votes by a show of hands or functional equivalent result in each person having one vote regardless of the number of shares such person is entitled to vote or the votes attaching to such shares. If voting is conducted by ballot, each person is entitled to the number of votes attaching the shares such person is entitled to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120</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Action by Written Consent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OBCA, shareholder action without a meeting may be taken by a resolution signed by all the shareholders or their attorney authorized in writing entitled to vote on that resolution at a meeting of shareholders. A written resolution of shareholders is as valid as if it had been passed at a meeting of those shareholders. A written resolution of shareholders dealing with all matters required by the OBCA to be dealt with at a meeting of shareholders, and signed by all the shareholders or their attorney authorized in writing entitled to vote on that resolution at that meeting, satisfies all the requirements of the OBCA relating to that meeting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Access to Books and Records and Dissemination of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keep at our registered office, or at such other place as the OBCA may permit, the documents, copies, registers, minutes and other records which we are required by the OBCA to keep at such places. We must prepare and maintain, among other specified documents, adequate accounting records. Under the OBCA, any director, shareholder or creditor of ours may, free of charge, examine certain of our records during our usual business hours.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Canadian Securities Administrators (the “CSA”) have issued corporate governance guidelines pursuant to National Policy 58-201 — Corporate Governance Guidelines (the “CSA Corporate Governance Guidelines”), together with certain related disclosure requirements pursuant to National Instrument 58-101 — Disclosure of Corporate Governance Practices (“NI 58-101”). The CSA Corporate Governance Guidelines are recommendations respecting reporting issuer corporate governance, including the CSA’s recommendations on the composition of a company’s board of directors (or similar body for a non-corporate entity), director independence, board mandates and position descriptions for the board chair, committee chairs, and the CEO, orientation and continuing education, written codes of conduct or ethics, nomination of directors, compensation and regulator board assessments.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that good corporate governance plays an important role in our overall success and in enhancing shareholder value and, accordingly, have adopted certain corporate governance policies and practices in connection with the closing of the Business Combination, which reflect our consideration of the recommended CSA Corporate Governance Guidelines.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out below includes disclosure required by NI 58-101 describing our approach to corporate governance in relation to our Corporate Governance Guidelines adopted upon completion of the Business Combination (the “Corporate Governance Guidelines”).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Election and Appointment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Articles do not provide for the board of directors to be divided into classes.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meeting of our Shareholders at which directors are to be elected, a separate vote of our Shareholders entitled to vote will be taken with respect to each candidate nominated for director. Pursuant to the OBCA, any casual vacancy occurring on our Board may be filled by a quorum of the remaining directors, subject to certain exceptions. If we do not have a quorum of directors, or if there has been a failure to elect the number of directors required by the Articles or the OBCA, the directors then in office must forthwith call a special meeting of shareholders to fill the vacancy and, if the directors fail to call a meeting or if there are no directors then in office, the meeting may be called by any of our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OBCA, where empowered by a special resolution, our directors may determine the number of directors to be elected at an annual meeting, which special resolution was adopted by us prior to completion of the Business Combination. In addition, where empowered by special resolution, between meetings of shareholders, our directors may appoint one or more additional directors, but the number of additional directors may not exceed one third times the number of directors required to have been elected at the last annual meeting of shareholders. For purposes of the OBCA, a special resolution is a resolution submitted to a meeting of shareholders duly called for the purpose of considering the resolution and passed at the meeting by at least two-thirds of the votes cast or consented to in writing by all shareholders entitled to vote at such a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121</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OBCA, there are no director residency requirements. The minimum number of directors we may have is one and the maximum number of directors we may have is ten, as set out in the Articles. The OBCA provides that any amendment to the Articles to increase or decrease the minimum or maximum number of our directors requires the approval of our Shareholders by a special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Orientation and Continuing Education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of the Business Combination, our Board was provided an initial orientation and it is expected that our Board will implement an orientation program for new directors. The Governance, Compensation and Nominating Committee is responsible for developing and overseeing an orientation, education and training program for new directors and ongoing educational and training opportunities for all directors. Directors are encouraged to be involved in continuing director education on an ongoing basis to enable them to better perform their duties and to recognize and appropriately address issues that arise. The chair of each committee is responsible for coordinating orientation and continuing director development programs relating to the committee’s mandate.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Term Limits and Other Mechanisms of Board Renewal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process of board renewal and succession planning. Our Board is committed to a process of board renewal and succession-planning for directors which seeks to bring fresh thinking and new perspectives to our Board while maintaining an appropriate degree of continuity and adequate opportunity for transition of board and committee roles and responsibilities. In accordance with the Corporate Governance Guidelines, a non-management director will not stand for re-election at the first annual meeting of shareholders after the 12</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anniversary of the date on which the director first began serving on the board; provided that, in special circumstances (including to facilitate orderly board renewal) and on the recommendation of the Governance, Compensation and Nominating Committee, a non-management director may continue to stand for re-election so long as the director continues to receive solid annual performance assessments and meets other Board policies or legal requirements for board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Removal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OBCA, our Shareholders may remove any director before the expiration of his or her term of office by ordinary resolution at an annual or special meeting of shareholders, provided that, where the holders of any class or series of our shares have an exclusive right to elect one or more directors, a director so elected may only be removed by an ordinary resolution at a meeting of the shareholders of that class or series. In that event, the shareholders may elect, by ordinary resolution, another individual as director to fill the resulting vacancy. For purposes of the OBCA, an ordinary resolution is a resolution submitted to a meeting of shareholders duly called for the purpose of considering the resolution and passed at the meeting by at least a simple majority of the votes cast or consented to in writing by all shareholders entitled to vote at such a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Proceedings of 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all meetings of our Board, every question will be decided by a majority of the votes cast and, in the case of an equality of votes, the chair of the meeting will not have a second or casting vote. A resolution of the directors or of any committee of the directors consented to in writing by all of the directors entitled to vote on it is as valid and effective as if it had been passed at a meeting of the directors or of the committee of the directors duly called and 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 Conflicts of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who is a party to a material contract or transaction or proposed material contract or transaction with us, or is a director or an officer of, or has a material interest in, any Person (as defined in the By-laws) who is a party to a material contract or transaction or proposed material contract or transaction with us, must disclose in writing or request to have entered in the minutes of meetings of directors the nature and extent of such interest, and any such director shall not attend any part of a meeting of directors during which the contract or transaction is discussed and shall refrain from voting in respect thereof unless otherwise permitted by the OBCA.</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122</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quorum exists for the purpose of voting on such a resolution only because a director is not permitted to be present at the meeting due to a conflict of interest, the remaining directors shall be deemed to constitute a quorum for the purposes of voting on the resolution. Directors are also required to comply with the relevant provisions of the OBCA regarding conflicts of interest. We have also adopted a related party transactions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Requirements for Advance Notification of Shareholder Nominations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By-laws and subject only to the OBCA, the Articles and applicable securities laws, our Shareholders of record entitled to vote are only able to nominate persons for election to our Board by providing proper notice to our corporate secretary, Natalie Wilmore. In the case of annual meetings, proper notice must be given not less than 30 days (or where notice and access is used for the delivery of applicable proxy related materials, 40 days) prior to the date of the annual meeting. However, in the event that the annual meeting of shareholders is to be held on a date that is less than 50 days after the date (the “Notice Date”) on which the first public announcement of the meeting was made, the notice must be given not later than the close of business on the 10th day following the Notice Date. In the case of a special meeting called for the purpose of electing directors and which is not also an annual meeting of our Shareholders, the notice must be given not later than the close of business on the 15th day following the date on which the first public announcement of the special meeting was made. Such notice must include, among other information, certain information with respect to each shareholder nominating persons for elections to our Board, a written consent of each nominee consenting to serve as our director, disclosure about any proxy, contract, arrangement, understanding or relationship pursuant to which the nominating shareholder has a right to vote our shares and any other information we may reasonably require to determine the eligibility of the nominee to serve as our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Amalgamations, Mergers and Other Corporate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OBCA, certain corporate actions, such as: (i) amalgamations (other than with certain affiliated corporations); (ii) continuances; (iii) sales, leases or exchanges of all, or substantially all, the property of a corporation other than in the ordinary course of business; (iv) reductions of stated capital for any purpose, including in connection with the payment of special distributions (subject, in certain cases, to the satisfaction of solvency tests); and (v) other actions such as liquidations, or arrangements, must be approved by a special resolution of our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specified cases where share rights or special rights may be prejudiced or interfered with, a special resolution of shareholders to approve the corporate action in question affecting the share rights or special rights, is also required to be approved separately by the holders of a class or series of shares, including a class or series of shares not otherwise carrying voting rights. In specified extraordinary corporate actions, such as approval of plans of arrangements and amalgamations all shares have a vote, whether or not they generally vote and, in certain cases, have separate class votes.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Director Liability, Indemnification of Directors and Officers and Insurance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OBCA, no provision in a contract, the articles or the by-laws of a corporation or a resolution relieves a director or officer from the duty to act in accordance with the OBCA and its related regulations or relieves him or her from liability for a breach of the OBCA or its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is not liable under the OBCA for certain acts if the director exercised the care, diligence and skill that a reasonably prudent person would have exercised in comparable circumstances, including reliance, in good faith, on (i) financial statements of the corporation represented to the director by an officer of the corporation or in a written report of the auditor of the corporation to fairly reflect the financial position of the corporation in accordance with generally accepted accounting principles; (ii) an interim or other report of the corporation represented to the director by an officer of the corporation to fairly reflect the financial position of the corporation in accordance with generally accepted accounting principles; (iii) a report or advice of an officer or employee of the corporation, where it is reasonable in the circumstances to rely on the report of advice; or (iv) a report of a lawyer, accountant, engineer, appraiser or other person whose profession lends credibility to a statement made by that person.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123</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OBCA, we may indemnify our current or former directors or officers or another individual who acts or acted at our request as a director or officer, or an individual acting in a similar capacity, of another entity, against all costs, charges and expenses, including an amount paid to settle an action or satisfy a judgment, reasonably incurred by the individual in respect of any civil, criminal, administrative, investigative or other proceeding in which the individual is involved because of his or her association with us or another entity.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OBCA also provides that we may advance monies to a director, officer or other individual for costs, charges and expenses reasonably incurred in connection with such a proceeding; provided that such individual must repay the monies if the individual does not fulfill the conditions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indemnification is prohibited under the OBCA unless the individual (i) acted honestly and in good faith with a view to the best interests of the corporation, or the best interests of the other entity for which the individual acted as director or officer or in a similar capacity at the corporation’s request; and (ii) in the case of a criminal or administrative action or proceeding that is enforced by a monetary penalty, the individual had reasonable grounds for believing that his or her conduct was lawful.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By-laws, we indemnify to the fullest extent permitted by the OBCA (i) any of our directors or officers; (ii) any of our former directors or officers; (iii) any individual who acts or acted at our request as a director or officer, or in a similar capacity, of another entity, against all costs, charges and expenses, including an amount paid to settle an action or satisfy a judgment, reasonably incurred by the individual in respect of any civil, criminal, administrative, or investigative action or other proceeding in which the individual is involved because of that association with us or another entity.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pursuant to the OBCA and the By-laws, purchase and maintain insurance, for each director and officer against any liability incurred by the director or officer as a result of their holding office with us or a related entity if the individual acts or acted in that capacity at our request. We have obtained a customary directors’ and officers’ insurance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Derivative Suits and Oppression Remedy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OBCA, a complainant (being a current or former director, officer or security holder of a corporation, which includes a beneficial shareholder, and any other person that a court considers to be a proper person to make such an application) may apply to the Ontario Superior Court of Justice for leave to bring an action in the name and on behalf of us or any of our subsidiaries, or to intervene in an existing action to which we or any of our subsidiaries is a party, for the purpose of prosecuting, defending or discontinuing an action on behalf of us or any of our subsidiaries.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action may be brought and no intervention in any action may be made unless the complainant has given the requisite notice of the application for leave to our directors or the directors of our subsidiary of the complainant’s intention to apply to the court and the court is satisfied that (i) our directors or the directors of our subsidiary will not bring, diligently prosecute or defend or discontinue the action; (ii) the complainant is acting in good faith; and (iii) it appears to be in the best interests of us or our subsidiary for the action to be brought, prosecuted, defended or discontinued.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OBCA, the court in a derivative action may make any order it thinks fit.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OBCA, a complainant, and, in the case of a public corporation, the OSC, may apply to the Ontario Superior Court of Justice for any interim or final order the court thinks fit, including, but not limited to, an order restraining the conduct complained of, where the court is satisfied that, in respect of us or any of our affiliates, any act or omission of us or any of our affiliates effects or threatens to effect a result, the business or affairs of us or any of our affiliates are, have been or are threatened to be carried on or conducted in a manner, or the powers of our directors or the directors of any of our affiliates are, have been or are threatened to be exercised in a manner, that is oppressive or unfairly prejudicial to or that unfairly disregards the interests of any security holder, creditor, director or officer of 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124</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Private Issuer Status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qualify as a “foreign private issuer” under the securities laws of the United States and the rules of Nasdaq. Under the securities laws of the United States, “foreign private issuers” are subject to different disclosure requirements than U.S. registrants. We intend to take all actions necessary to maintain compliance as a foreign private issuer under the applicable corporate governance requirements of the Sarbanes-Oxley Act, the rules adopted by the SEC and Nasdaq’s listing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Mandate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responsible for supervising the management of our business and affairs, including providing guidance and strategic oversight to management. Our Board has adopted a formal mandate that includes responsibilities for the following: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overseeing our performance and the quality, depth and continuity of management needed to meet our strategic objectives;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433"/>
        <w:gridCol w:w="9676"/>
      </w:tblGrid>
      <w:tr>
        <w:trPr/>
        <w:tc>
          <w:tcPr>
            <w:tcW w:w="9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pPr>
            <w:r>
              <w:rPr/>
              <w:t>●</w:t>
            </w:r>
          </w:p>
        </w:tc>
        <w:tc>
          <w:tcPr>
            <w:tcW w:w="9676" w:type="dxa"/>
            <w:tcBorders/>
            <w:vAlign w:val="center"/>
          </w:tcPr>
          <w:p>
            <w:pPr>
              <w:pStyle w:val="TableContents"/>
              <w:bidi w:val="0"/>
              <w:spacing w:before="0" w:after="283"/>
              <w:jc w:val="both"/>
              <w:rPr/>
            </w:pPr>
            <w:r>
              <w:rPr/>
              <w:t>appointing our Chief Executive Officer;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taking steps to satisfy itself as to the integrity of our Chief Executive Officer and other senior executive officers and that our Chief Executive Officer and other senior executive officers create a culture of integrity throughout the organization;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57"/>
        <w:gridCol w:w="9891"/>
      </w:tblGrid>
      <w:tr>
        <w:trPr/>
        <w:tc>
          <w:tcPr>
            <w:tcW w:w="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w:t>
            </w:r>
          </w:p>
        </w:tc>
        <w:tc>
          <w:tcPr>
            <w:tcW w:w="9891" w:type="dxa"/>
            <w:tcBorders/>
            <w:vAlign w:val="center"/>
          </w:tcPr>
          <w:p>
            <w:pPr>
              <w:pStyle w:val="TableContents"/>
              <w:bidi w:val="0"/>
              <w:spacing w:before="0" w:after="283"/>
              <w:jc w:val="both"/>
              <w:rPr/>
            </w:pPr>
            <w:r>
              <w:rPr/>
              <w:t>reviewing and approving management’s strategic and business plans.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also adopted position descriptions for the board chair, lead independent director, Chief Executive Officer, committee chairs and individual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Business Combination, we established a separately standing Audit Committee and Governance, Compensation and Nominating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upon consummation of the Business Combination, we established the Audit Committee, which consists of at least three members, each of whom our Board has determined is independent under Nasdaq listing rules, the TSX listing rules, NI 58-101, National Instrument 52-110 — Audit Committees (“NI 52-110”) and Rule 10A-3 under the Exchange Act. Each member of the Audit Committee meets the financial literacy requirements of Nasdaq, TSX and NI 52-110, as applicable, and at least one member qualifies as an “audit committee financial expert” under applicable SEC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consists of three directors, all of whom have been determined by our Board to be independent directors and all of whom are financially literate, in each case, within the meaning of NI 52-110. The Audit Committee members have an understanding of the accounting principles used to prepare financial statements and varied experience as to the general application of such accounting principles, as well as an understanding of the internal controls and procedures necessary for financial reporting. For additional details regarding the relevant education and experience of each member of the Audit Committee, see the subsection titled “Executive Officers and Directors.”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125</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adopted, effective upon completion of the Business Combination, the Audit Committee Charter which details the principal functions of the Audit Committee. This includes the responsibility for the oversight of, among other things as may be delegated by our Board from time to time:</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5"/>
        <w:gridCol w:w="9832"/>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w:t>
            </w:r>
          </w:p>
        </w:tc>
        <w:tc>
          <w:tcPr>
            <w:tcW w:w="9832" w:type="dxa"/>
            <w:tcBorders/>
            <w:vAlign w:val="center"/>
          </w:tcPr>
          <w:p>
            <w:pPr>
              <w:pStyle w:val="TableContents"/>
              <w:bidi w:val="0"/>
              <w:spacing w:before="0" w:after="283"/>
              <w:jc w:val="both"/>
              <w:rPr/>
            </w:pPr>
            <w:r>
              <w:rPr/>
              <w:t>our financial statements and financial reporting processes;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audit process and our internal control over financial reporting, disclosure controls and procedures, and compliance with other related legal and regulatory requirements;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293"/>
        <w:gridCol w:w="9847"/>
      </w:tblGrid>
      <w:tr>
        <w:trPr/>
        <w:tc>
          <w:tcPr>
            <w:tcW w:w="6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pPr>
            <w:r>
              <w:rPr/>
              <w:t>●</w:t>
            </w:r>
          </w:p>
        </w:tc>
        <w:tc>
          <w:tcPr>
            <w:tcW w:w="9847" w:type="dxa"/>
            <w:tcBorders/>
            <w:vAlign w:val="center"/>
          </w:tcPr>
          <w:p>
            <w:pPr>
              <w:pStyle w:val="TableContents"/>
              <w:bidi w:val="0"/>
              <w:spacing w:before="0" w:after="283"/>
              <w:jc w:val="both"/>
              <w:rPr/>
            </w:pPr>
            <w:r>
              <w:rPr/>
              <w:t>the qualifications and independence of our external auditors;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29"/>
        <w:gridCol w:w="9925"/>
      </w:tblGrid>
      <w:tr>
        <w:trPr/>
        <w:tc>
          <w:tcPr>
            <w:tcW w:w="5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w:t>
            </w:r>
          </w:p>
        </w:tc>
        <w:tc>
          <w:tcPr>
            <w:tcW w:w="9925" w:type="dxa"/>
            <w:tcBorders/>
            <w:vAlign w:val="center"/>
          </w:tcPr>
          <w:p>
            <w:pPr>
              <w:pStyle w:val="TableContents"/>
              <w:bidi w:val="0"/>
              <w:spacing w:before="0" w:after="283"/>
              <w:jc w:val="both"/>
              <w:rPr/>
            </w:pPr>
            <w:r>
              <w:rPr/>
              <w:t>the work of our financial management, internal auditors and external auditors;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99"/>
        <w:gridCol w:w="9962"/>
      </w:tblGrid>
      <w:tr>
        <w:trPr/>
        <w:tc>
          <w:tcPr>
            <w:tcW w:w="4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pPr>
            <w:r>
              <w:rPr/>
              <w:t>●</w:t>
            </w:r>
          </w:p>
        </w:tc>
        <w:tc>
          <w:tcPr>
            <w:tcW w:w="9962" w:type="dxa"/>
            <w:tcBorders/>
            <w:vAlign w:val="center"/>
          </w:tcPr>
          <w:p>
            <w:pPr>
              <w:pStyle w:val="TableContents"/>
              <w:bidi w:val="0"/>
              <w:spacing w:before="0" w:after="283"/>
              <w:jc w:val="both"/>
              <w:rPr/>
            </w:pPr>
            <w:r>
              <w:rPr/>
              <w:t>our enterprise risk management, privacy and data security and monitoring of such matters;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523"/>
        <w:gridCol w:w="9566"/>
      </w:tblGrid>
      <w:tr>
        <w:trPr/>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pPr>
            <w:r>
              <w:rPr/>
              <w:t>●</w:t>
            </w:r>
          </w:p>
        </w:tc>
        <w:tc>
          <w:tcPr>
            <w:tcW w:w="9566" w:type="dxa"/>
            <w:tcBorders/>
            <w:vAlign w:val="center"/>
          </w:tcPr>
          <w:p>
            <w:pPr>
              <w:pStyle w:val="TableContents"/>
              <w:bidi w:val="0"/>
              <w:spacing w:before="0" w:after="283"/>
              <w:jc w:val="both"/>
              <w:rPr/>
            </w:pPr>
            <w:r>
              <w:rPr/>
              <w:t>legal and regulatory compliance;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9"/>
        <w:gridCol w:w="713"/>
        <w:gridCol w:w="9333"/>
      </w:tblGrid>
      <w:tr>
        <w:trPr/>
        <w:tc>
          <w:tcPr>
            <w:tcW w:w="15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pPr>
            <w:r>
              <w:rPr/>
              <w:t>●</w:t>
            </w:r>
          </w:p>
        </w:tc>
        <w:tc>
          <w:tcPr>
            <w:tcW w:w="9333" w:type="dxa"/>
            <w:tcBorders/>
            <w:vAlign w:val="center"/>
          </w:tcPr>
          <w:p>
            <w:pPr>
              <w:pStyle w:val="TableContents"/>
              <w:bidi w:val="0"/>
              <w:spacing w:before="0" w:after="283"/>
              <w:jc w:val="both"/>
              <w:rPr/>
            </w:pPr>
            <w:r>
              <w:rPr/>
              <w:t>financial reporting risk;</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equity investments, acquisitions and divestitures that may have a material effect on financial condition, changes in financial condition, results of operations, liquidity, capital resources, capital reserves, or significant components of revenues or expenses;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matters pertaining to our material policies and practices respecting cash management and material financing strategies or policies or proposed financing arrangements and objectives;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public disclosure items such as earnings press releases, financial information and guidance and other public reporting requirements.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the responsibility of the Audit Committee to maintain free and open means of communication between the Audit Committee, our external auditors, and our management. The Audit Committee has been given full access to our management, records, and external auditors as necessary to carry out these responsibilities. The Audit Committee has the authority to carry out such special investigations as it sees fit in respect of any matters within its various roles and responsibilities. We provide appropriate funding, as determined by the Audit Committee, for the payment of compensation to the independent auditor for the purpose of rendering or issuing an audit report and to any advisors employed by the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Governance, Compensation and Nominating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upon consummation of the Business Combination, we established the Governance, Compensation and Nominating Committee, which consists of at least three members and is comprised solely of directors who either meet or exceed the independence requirements of Nasdaq and who are “independent” within the meaning of NI 58-101 and satisfy any additional independence requirements under applicable U.S. and Canadian securities laws and the TSX listing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adopted, effective upon completion of the Business Combination, a Governance, Compensation and Nominating Committee Charter, which details the principal functions of the Governance, Compensation and Nominating Committee. The Governance, Compensation and Nominating Committee’s purpose is to assist our Board in:</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overall compensation philosophy, including developing compensation structure for our senior management including salaries, annual and long-term incentive plans including plans involving share issuances and other share-based awards;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establishing policies and procedures designed to identify and mitigate risks associated with our compensation policies and practices;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396"/>
        <w:gridCol w:w="9721"/>
      </w:tblGrid>
      <w:tr>
        <w:trPr/>
        <w:tc>
          <w:tcPr>
            <w:tcW w:w="8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pPr>
            <w:r>
              <w:rPr/>
              <w:t>●</w:t>
            </w:r>
          </w:p>
        </w:tc>
        <w:tc>
          <w:tcPr>
            <w:tcW w:w="9721" w:type="dxa"/>
            <w:tcBorders/>
            <w:vAlign w:val="center"/>
          </w:tcPr>
          <w:p>
            <w:pPr>
              <w:pStyle w:val="TableContents"/>
              <w:bidi w:val="0"/>
              <w:spacing w:before="0" w:after="283"/>
              <w:jc w:val="both"/>
              <w:rPr/>
            </w:pPr>
            <w:r>
              <w:rPr/>
              <w:t>assessing the compensation of our directors;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126</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0"/>
        <w:gridCol w:w="9985"/>
      </w:tblGrid>
      <w:tr>
        <w:trPr/>
        <w:tc>
          <w:tcPr>
            <w:tcW w:w="4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w:t>
            </w:r>
          </w:p>
        </w:tc>
        <w:tc>
          <w:tcPr>
            <w:tcW w:w="9985" w:type="dxa"/>
            <w:tcBorders/>
            <w:vAlign w:val="center"/>
          </w:tcPr>
          <w:p>
            <w:pPr>
              <w:pStyle w:val="TableContents"/>
              <w:bidi w:val="0"/>
              <w:spacing w:before="0" w:after="283"/>
              <w:jc w:val="both"/>
              <w:rPr/>
            </w:pPr>
            <w:r>
              <w:rPr/>
              <w:t>developing benefit retirement and savings plans and administering our equity-based incentive plans;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4"/>
        <w:gridCol w:w="9956"/>
      </w:tblGrid>
      <w:tr>
        <w:trPr/>
        <w:tc>
          <w:tcPr>
            <w:tcW w:w="4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w:t>
            </w:r>
          </w:p>
        </w:tc>
        <w:tc>
          <w:tcPr>
            <w:tcW w:w="9956" w:type="dxa"/>
            <w:tcBorders/>
            <w:vAlign w:val="center"/>
          </w:tcPr>
          <w:p>
            <w:pPr>
              <w:pStyle w:val="TableContents"/>
              <w:bidi w:val="0"/>
              <w:spacing w:before="0" w:after="283"/>
              <w:jc w:val="both"/>
              <w:rPr/>
            </w:pPr>
            <w:r>
              <w:rPr/>
              <w:t>the appointment, performance, evaluation and compensation of our senior management;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3"/>
        <w:gridCol w:w="9896"/>
      </w:tblGrid>
      <w:tr>
        <w:trPr/>
        <w:tc>
          <w:tcPr>
            <w:tcW w:w="5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w:t>
            </w:r>
          </w:p>
        </w:tc>
        <w:tc>
          <w:tcPr>
            <w:tcW w:w="9896" w:type="dxa"/>
            <w:tcBorders/>
            <w:vAlign w:val="center"/>
          </w:tcPr>
          <w:p>
            <w:pPr>
              <w:pStyle w:val="TableContents"/>
              <w:bidi w:val="0"/>
              <w:spacing w:before="0" w:after="283"/>
              <w:jc w:val="both"/>
              <w:rPr/>
            </w:pPr>
            <w:r>
              <w:rPr/>
              <w:t>the recruitment, development and retention of our senior management;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overseeing talent management and succession planning systems and processes relating to our executive officers;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developing our corporate governance guidelines and principles and providing us with governance leadership;</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7"/>
        <w:gridCol w:w="9916"/>
      </w:tblGrid>
      <w:tr>
        <w:trPr/>
        <w:tc>
          <w:tcPr>
            <w:tcW w:w="5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w:t>
            </w:r>
          </w:p>
        </w:tc>
        <w:tc>
          <w:tcPr>
            <w:tcW w:w="9916" w:type="dxa"/>
            <w:tcBorders/>
            <w:vAlign w:val="center"/>
          </w:tcPr>
          <w:p>
            <w:pPr>
              <w:pStyle w:val="TableContents"/>
              <w:bidi w:val="0"/>
              <w:spacing w:before="0" w:after="283"/>
              <w:jc w:val="both"/>
              <w:rPr/>
            </w:pPr>
            <w:r>
              <w:rPr/>
              <w:t>identifying individuals qualified to be nominated as members of our Board;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monitoring compliance with our principal corporate policies, including our Code of Business Conduct and Ethics;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developing policies and search protocols, as appropriate, to promote diversity of board members and our management team;</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24"/>
        <w:gridCol w:w="9932"/>
      </w:tblGrid>
      <w:tr>
        <w:trPr/>
        <w:tc>
          <w:tcPr>
            <w:tcW w:w="4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w:t>
            </w:r>
          </w:p>
        </w:tc>
        <w:tc>
          <w:tcPr>
            <w:tcW w:w="9932" w:type="dxa"/>
            <w:tcBorders/>
            <w:vAlign w:val="center"/>
          </w:tcPr>
          <w:p>
            <w:pPr>
              <w:pStyle w:val="TableContents"/>
              <w:bidi w:val="0"/>
              <w:spacing w:before="0" w:after="283"/>
              <w:jc w:val="both"/>
              <w:rPr/>
            </w:pPr>
            <w:r>
              <w:rPr/>
              <w:t>reviewing the structure, composition and mandate of our board committees;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5"/>
        <w:gridCol w:w="9943"/>
      </w:tblGrid>
      <w:tr>
        <w:trPr/>
        <w:tc>
          <w:tcPr>
            <w:tcW w:w="4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w:t>
            </w:r>
          </w:p>
        </w:tc>
        <w:tc>
          <w:tcPr>
            <w:tcW w:w="9943" w:type="dxa"/>
            <w:tcBorders/>
            <w:vAlign w:val="center"/>
          </w:tcPr>
          <w:p>
            <w:pPr>
              <w:pStyle w:val="TableContents"/>
              <w:bidi w:val="0"/>
              <w:spacing w:before="0" w:after="283"/>
              <w:jc w:val="both"/>
              <w:rPr/>
            </w:pPr>
            <w:r>
              <w:rPr/>
              <w:t>evaluating the performance and effectiveness of our Board and committees thereof.</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Governance, Compensation and Nominating Committee is responsible for establishing and implementing procedures to evaluate the performance and effectiveness of our Board, committees thereof and the contributions of individual directors. The Governance, Compensation and Nominating Committee also takes reasonable steps to evaluate and assess, on an annual basis, directors’ performance and effectiveness of our Board, its committees, individual board members, the board chair, lead independent director and committee chairs. The assessment addresses, among other things, individual director independence, individual director and overall board skills, and individual director financial literacy. Our Board receives and considers the recommendations from the Governance, Compensation and Nominating Committee regarding the results of the evaluation of the performance and effectiveness of our Board, its committees, individual board members, the board chair, the lead independent director and committee chairs. The Governance, Compensation and Nominating Committee is also responsible for orientation and continuing education programs for our directors. See also “Management — Orientation and Continuing Education.”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Governance, Compensation and Nominating Committee has the authority to retain, at our expense, independent legal, financial, compensation consulting and other advisors to assist the Governance, Compensation and Nominating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 Interlocks and Insider Participation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executive officers currently serves, and in the past year has not served, (i) as a member of the compensation committee or the board of directors of another entity, one of whose officers serves on the Governance, Compensation and Nominating Committee, or (ii) as a member of the compensation committee of another entity, one of whose officers serves on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Independence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B Subordinate Voting Shares are listed on Nasdaq and the TSX under the ticker symbol “XNDU.”</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we adhere to the rules of Nasdaq and applicable Canadian securities laws in determining whether a director is independent. Our Board consults with its counsel to ensure that its determinations are consistent with those rules and all relevant securities and other laws and regulations regarding the independence of directors. The listing standards of Nasdaq generally define an “independent director” as a person, other than an executive officer of a company or any other individual having a relationship which, in the opinion of the issuer’s board of directors, would interfere with the exercise of independent judgment in carrying out the responsibilities of a director.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127</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except for Christian Weedbrook, our Chief Executive Officer, has been determined to be an independent director by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Oversight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oversees the risk management activities designed and implemented by our management. Our Board executes its oversight responsibility both directly and through its committees. Our Board also considers specific risk topics, including risks associated with its strategic initiatives, business plans and capital structure. Our management, including our executive officers, is primarily responsible for managing the risks associated with our operations and business and provides appropriate updates to our Board and the Audit Committee. Our Board has delegated to the Audit Committee oversight of its risk management process, and the Governance, Compensation and Nominating Committee also considers risk as it performs its respective committee responsibilities. Both committees report to our Board as appropriate, including when a matter rises to the level of material or enterprise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Communications with the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shareholders and interested parties may communicate with our Board, any committee chairperson or the independent directors as a group by writing to our Board or committee chairperson in care of our corporate secretary, Natalie Wilmore.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adopted an insider trading policy that applies to our directors, officers and employees and, among other things, prohibits: (i) trading in our securities while in possession of material non-public information about us; (ii) recommending or encouraging others to trade, or disclosing material non-public information; (iii) trading by designated personnel during regularly scheduled and discretionary blackout periods; and (iv) for insiders and senior employees, short sales, hedging or monetization transactions and other derivative transactions involving, directly or indirectly,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we adopted the Code of Business Conduct and Ethics and have posted the Code of Business Conduct and Ethics and any amendments to or any waivers from a provision of the Code of Business Conduct and Ethics on our website, and intend to disclose any amendments to or waivers of certain provisions of our Code of Business Conduct and Ethics in a manner consistent with NI 58-101 and the applicable rules or regulations of the SEC and Nasdaq. The Governance, Compensation and Nominating Committee is responsible for overseeing compliance with the Code of Business Conduct and Ethics and receives reports from management regarding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Diversity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in this “Diversity” subsection is being prescribed by Form 58-101F1 — Corporate Governance Disclosure of the Canadian Securities Administrators.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importance and benefits of a board of directors and senior management composed of highly talented and experienced individuals and the need to foster and promote diversity among board members and senior management. As of the date of this prospectus, we do not have a formal written policy regarding the identification and evaluation of candidates for board of directors based on specific diversity criteria. This is primarily due to the recent formation and transition of our Board in connection with the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a diverse board is critical to our long-term success. While we have not yet adopted a formal policy, our board of directors is committed to a thoughtful and deliberate approach to governance. We believe that rushing the implementation of a diversity policy without comprehensive evaluation could result in a framework that does not fully serve the unique strategic needs of our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128</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interim, the Governance, Compensation and Nominating Committee will, when identifying candidates to nominate for election to our Board or to appoint as senior management, and in its review of senior management succession planning and talent management:</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consider individuals who are highly qualified, based on their talents, experience, functional expertise and personal skills, character and qualities having regard to our current and future plans and objectives, as well as anticipated regulatory and market developments;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w:t>
            </w:r>
          </w:p>
        </w:tc>
        <w:tc>
          <w:tcPr>
            <w:tcW w:w="9995" w:type="dxa"/>
            <w:tcBorders/>
            <w:vAlign w:val="center"/>
          </w:tcPr>
          <w:p>
            <w:pPr>
              <w:pStyle w:val="TableContents"/>
              <w:bidi w:val="0"/>
              <w:spacing w:before="0" w:after="283"/>
              <w:jc w:val="both"/>
              <w:rPr/>
            </w:pPr>
            <w:r>
              <w:rPr/>
              <w:t>consider criteria that promote diversity, including with regard to gender, ethnicity, and other dimensions;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consider the level of representation of women on its board of directors and in senior management positions, along with other markers of diversity, when making recommendations for nominees to our Board or for appointment as senior management and in general with regard to succession planning for our Board and senior management;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as required, develop policies and search protocols to promote diversity of board members and our management team and engage qualified independent external advisors to assist in conducting searches for candidates who meet our Board’s criteria regarding skills, experience and diversity.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completion of the Business Combination, there were three women on our Board, representing 50% of the directors upon Closing. There is one member of visible minorities (as defined in the </w:t>
      </w:r>
      <w:r>
        <w:rPr>
          <w:rFonts w:ascii="Times New Roman;Times;Serif" w:hAnsi="Times New Roman;Times;Serif"/>
          <w:b w:val="false"/>
          <w:i/>
          <w:caps w:val="false"/>
          <w:smallCaps w:val="false"/>
          <w:sz w:val="20"/>
        </w:rPr>
        <w:t>Employment Equity Act</w:t>
      </w:r>
      <w:r>
        <w:rPr>
          <w:rFonts w:ascii="Times New Roman;Times;Serif" w:hAnsi="Times New Roman;Times;Serif"/>
          <w:b w:val="false"/>
          <w:i w:val="false"/>
          <w:caps w:val="false"/>
          <w:smallCaps w:val="false"/>
          <w:sz w:val="20"/>
        </w:rPr>
        <w:t xml:space="preserve"> (Canada)) on our Board. There were two women executive officers upon Closing, representing 40% of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Alternative Forum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unless we consent in writing to the selection of an alternative forum and except as set out below, the courts of the Province of Ontario, Canada and the appellate courts therefrom, to the fullest extent permitted by law, will be the sole and exclusive forum for any derivative action or proceeding brought on behalf of us, any action or proceeding asserting a claim of breach of a fiduciary duty owed by any of our directors, officers or other employees to us, any action or proceeding asserting a claim arising pursuant to any provision of the OBCA or the Articles or the By-laws (as either may be amended from time to time), or any action or proceeding asserting a claim or otherwise related to our affairs. The By-laws also provide that, notwithstanding the foregoing, unless we consent in writing to the selection of an alternative forum, the federal district courts of the United States of America will have exclusive jurisdiction for the resolution of any complaint filed in the United States asserting a cause of action arising under the Securities Act or the Exchange Act. Investors cannot waive compliance with the U.S. federal securities laws and the rules and regulations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of the Articles, the By-laws and Alteration of Share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OBCA, we may amend our articles by special resolution. A special resolution is generally required to approve corporate matters that may materially affect the rights of shareholders or are of a transformative nature for the corporation, including, but not limited to, changes to the corporation’s authorized capital structure, changes to the rights privileges, restrictions and conditions in respect of any of the corporation’s shares, a change in the corporation’s name, the winding up, dissolution or liquidation of the corporation, and a plan of arrangement with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OBCA, our Board may, by resolution, make, amend or repeal any by-laws that regulate the business or affairs of the Company. Where the directors make, amend or repeal any by-law, they must submit the by-law, amendment or repeal to our Shareholders at the next meeting of shareholders, and the shareholders may confirm, reject or amend the by-law, amendment or repeal. Where a by-law is made, amended or repealed by the directors, the by-law, amendment or repeal is effective from the date of the resolution of the directors until it is confirmed, amended or rejected by shareholders (or, if the directors fail to submit the by-law, amendment or repeal to shareholders, until the date of the shareholders meeting at which it should have been submitted).</w:t>
      </w:r>
    </w:p>
    <w:p>
      <w:pPr>
        <w:pStyle w:val="TextBody"/>
        <w:bidi w:val="0"/>
        <w:spacing w:before="0" w:after="0"/>
        <w:jc w:val="left"/>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129</w:t>
      </w:r>
    </w:p>
    <w:p>
      <w:pPr>
        <w:pStyle w:val="TextBody"/>
        <w:bidi w:val="0"/>
        <w:spacing w:before="0" w:after="0"/>
        <w:jc w:val="center"/>
        <w:rPr/>
      </w:pPr>
      <w:r>
        <w:rPr/>
        <w:t> </w:t>
      </w:r>
    </w:p>
    <w:p>
      <w:pPr>
        <w:pStyle w:val="TextBody"/>
        <w:bidi w:val="0"/>
        <w:spacing w:before="0" w:after="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2" w:name="a_021"/>
      <w:bookmarkEnd w:id="22"/>
      <w:r>
        <w:rPr>
          <w:rFonts w:ascii="Times New Roman;Times;Serif" w:hAnsi="Times New Roman;Times;Serif"/>
          <w:b/>
          <w:i w:val="false"/>
          <w:caps/>
          <w:sz w:val="20"/>
        </w:rPr>
        <w:t>EXECUTIVE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section describes the significant elements of our executive compensation program, with particular emphasis on the process for determining compensation payable to our Chief Executive Officer (our “CEO”), Chief Financial Officer and our other three most highly compensated executive officers (collectively, the “Named Executive Officers” or “NEOs”). The discussion below reflects changes to Old Xanadu’s compensation program that were implemented in connection with the Closing. The NEOs are:</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373"/>
        <w:gridCol w:w="9749"/>
      </w:tblGrid>
      <w:tr>
        <w:trPr/>
        <w:tc>
          <w:tcPr>
            <w:tcW w:w="8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pPr>
            <w:r>
              <w:rPr/>
              <w:t>●</w:t>
            </w:r>
          </w:p>
        </w:tc>
        <w:tc>
          <w:tcPr>
            <w:tcW w:w="9749" w:type="dxa"/>
            <w:tcBorders/>
            <w:vAlign w:val="center"/>
          </w:tcPr>
          <w:p>
            <w:pPr>
              <w:pStyle w:val="TableContents"/>
              <w:bidi w:val="0"/>
              <w:spacing w:before="0" w:after="283"/>
              <w:jc w:val="both"/>
              <w:rPr/>
            </w:pPr>
            <w:r>
              <w:rPr/>
              <w:t>Christian Weedbrook, Chief Executive Officer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416"/>
        <w:gridCol w:w="9697"/>
      </w:tblGrid>
      <w:tr>
        <w:trPr/>
        <w:tc>
          <w:tcPr>
            <w:tcW w:w="9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pPr>
            <w:r>
              <w:rPr/>
              <w:t>●</w:t>
            </w:r>
          </w:p>
        </w:tc>
        <w:tc>
          <w:tcPr>
            <w:tcW w:w="9697" w:type="dxa"/>
            <w:tcBorders/>
            <w:vAlign w:val="center"/>
          </w:tcPr>
          <w:p>
            <w:pPr>
              <w:pStyle w:val="TableContents"/>
              <w:bidi w:val="0"/>
              <w:spacing w:before="0" w:after="283"/>
              <w:jc w:val="both"/>
              <w:rPr/>
            </w:pPr>
            <w:r>
              <w:rPr/>
              <w:t>Michael Trzupek, Chief Financial Officer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470"/>
        <w:gridCol w:w="9631"/>
      </w:tblGrid>
      <w:tr>
        <w:trPr/>
        <w:tc>
          <w:tcPr>
            <w:tcW w:w="10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pPr>
            <w:r>
              <w:rPr/>
              <w:t>●</w:t>
            </w:r>
          </w:p>
        </w:tc>
        <w:tc>
          <w:tcPr>
            <w:tcW w:w="9631" w:type="dxa"/>
            <w:tcBorders/>
            <w:vAlign w:val="center"/>
          </w:tcPr>
          <w:p>
            <w:pPr>
              <w:pStyle w:val="TableContents"/>
              <w:bidi w:val="0"/>
              <w:spacing w:before="0" w:after="283"/>
              <w:jc w:val="both"/>
              <w:rPr/>
            </w:pPr>
            <w:r>
              <w:rPr/>
              <w:t>Rafal Janik, Chief Operating Officer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431"/>
        <w:gridCol w:w="9678"/>
      </w:tblGrid>
      <w:tr>
        <w:trPr/>
        <w:tc>
          <w:tcPr>
            <w:tcW w:w="9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pPr>
            <w:r>
              <w:rPr/>
              <w:t>●</w:t>
            </w:r>
          </w:p>
        </w:tc>
        <w:tc>
          <w:tcPr>
            <w:tcW w:w="9678" w:type="dxa"/>
            <w:tcBorders/>
            <w:vAlign w:val="center"/>
          </w:tcPr>
          <w:p>
            <w:pPr>
              <w:pStyle w:val="TableContents"/>
              <w:bidi w:val="0"/>
              <w:spacing w:before="0" w:after="283"/>
              <w:jc w:val="both"/>
              <w:rPr/>
            </w:pPr>
            <w:r>
              <w:rPr/>
              <w:t>Rebecca Laramée, Chief People Officer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459"/>
        <w:gridCol w:w="9644"/>
      </w:tblGrid>
      <w:tr>
        <w:trPr/>
        <w:tc>
          <w:tcPr>
            <w:tcW w:w="10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pPr>
            <w:r>
              <w:rPr/>
              <w:t>●</w:t>
            </w:r>
          </w:p>
        </w:tc>
        <w:tc>
          <w:tcPr>
            <w:tcW w:w="9644" w:type="dxa"/>
            <w:tcBorders/>
            <w:vAlign w:val="center"/>
          </w:tcPr>
          <w:p>
            <w:pPr>
              <w:pStyle w:val="TableContents"/>
              <w:bidi w:val="0"/>
              <w:spacing w:before="0" w:after="283"/>
              <w:jc w:val="both"/>
              <w:rPr/>
            </w:pPr>
            <w:r>
              <w:rPr/>
              <w:t>Natalie Wilmore, Chief Legal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Compensation-Setting Process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Old Xanadu’s board of directors was responsible for setting the compensation of Old Xanadu’s Chief Executive Officer, and for working with Old Xanadu’s Chief Executive Officer to set the compensation for the other executive officers. In connection with the completion of the Business Combination, our Board formed the Governance, Compensation and Nominating Committee and adopted a written charter for the Governance, Compensation and Nominating Committee providing that the Governance, Compensation and Nominating Committee will, among other things, assist our Board in its oversight of executive compensation, director compensation and executive compensation disclosure. See “Management — Board Committees.”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CEO makes recommendations to the Governance, Compensation and Nominating Committee each year with respect to compensation for the other NEOs.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Objectives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compensation program is designed to achieve the following objectives: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provide market-competitive compensation opportunities in order to attract and retain talented, high-performing and experienced executive officers, whose knowledge, skills and performance are critical to our success;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261"/>
        <w:gridCol w:w="9886"/>
      </w:tblGrid>
      <w:tr>
        <w:trPr/>
        <w:tc>
          <w:tcPr>
            <w:tcW w:w="5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w:t>
            </w:r>
          </w:p>
        </w:tc>
        <w:tc>
          <w:tcPr>
            <w:tcW w:w="9886" w:type="dxa"/>
            <w:tcBorders/>
            <w:vAlign w:val="center"/>
          </w:tcPr>
          <w:p>
            <w:pPr>
              <w:pStyle w:val="TableContents"/>
              <w:bidi w:val="0"/>
              <w:spacing w:before="0" w:after="283"/>
              <w:jc w:val="both"/>
              <w:rPr/>
            </w:pPr>
            <w:r>
              <w:rPr/>
              <w:t>motivate these executive officers to achieve our business objectives;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align the interests of our executive officers with those of our shareholders by tying a meaningful portion of compensation directly to the long-term value and growth of our business;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265"/>
        <w:gridCol w:w="9881"/>
      </w:tblGrid>
      <w:tr>
        <w:trPr/>
        <w:tc>
          <w:tcPr>
            <w:tcW w:w="5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w:t>
            </w:r>
          </w:p>
        </w:tc>
        <w:tc>
          <w:tcPr>
            <w:tcW w:w="9881" w:type="dxa"/>
            <w:tcBorders/>
            <w:vAlign w:val="center"/>
          </w:tcPr>
          <w:p>
            <w:pPr>
              <w:pStyle w:val="TableContents"/>
              <w:bidi w:val="0"/>
              <w:spacing w:before="0" w:after="283"/>
              <w:jc w:val="both"/>
              <w:rPr/>
            </w:pPr>
            <w:r>
              <w:rPr/>
              <w:t>continue to foster an entrepreneurial and results-driven culture;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provide incentives that encourage appropriate levels of risk-taking and prudent decision-making by the executive team.</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evaluate our philosophy and compensation program as circumstances require and review compensation on an annual basis. As part of this review process, we are guided by the philosophy and objectives outlined above, as well as other factors which may become relevant.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130</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Consultant and Benchmarking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 and Gale (“W&amp;G”), an independent executive compensation consulting firm, was first retained in August 2025 to provide services to Old Xanadu in connection with executive officer and director compensation in connection with the Business Combination, including: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261"/>
        <w:gridCol w:w="9886"/>
      </w:tblGrid>
      <w:tr>
        <w:trPr/>
        <w:tc>
          <w:tcPr>
            <w:tcW w:w="5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w:t>
            </w:r>
          </w:p>
        </w:tc>
        <w:tc>
          <w:tcPr>
            <w:tcW w:w="9886" w:type="dxa"/>
            <w:tcBorders/>
            <w:vAlign w:val="center"/>
          </w:tcPr>
          <w:p>
            <w:pPr>
              <w:pStyle w:val="TableContents"/>
              <w:bidi w:val="0"/>
              <w:spacing w:before="0" w:after="283"/>
              <w:jc w:val="both"/>
              <w:rPr/>
            </w:pPr>
            <w:r>
              <w:rPr/>
              <w:t>assisting in developing the compensation objectives and peer group;</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assisting in reviewing the competitiveness of Old Xanadu’s current cash and equity-based compensation arrangements for its NEOs;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assisting in designing a new incentive awards framework for Old Xanadu’s executive officers and key managers;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364"/>
        <w:gridCol w:w="9760"/>
      </w:tblGrid>
      <w:tr>
        <w:trPr/>
        <w:tc>
          <w:tcPr>
            <w:tcW w:w="8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pPr>
            <w:r>
              <w:rPr/>
              <w:t>●</w:t>
            </w:r>
          </w:p>
        </w:tc>
        <w:tc>
          <w:tcPr>
            <w:tcW w:w="9760" w:type="dxa"/>
            <w:tcBorders/>
            <w:vAlign w:val="center"/>
          </w:tcPr>
          <w:p>
            <w:pPr>
              <w:pStyle w:val="TableContents"/>
              <w:bidi w:val="0"/>
              <w:spacing w:before="0" w:after="283"/>
              <w:jc w:val="both"/>
              <w:rPr/>
            </w:pPr>
            <w:r>
              <w:rPr/>
              <w:t>conducting a director compensation assessment.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W&amp;G also conducted compensation benchmarking for non-executive officers and advised on the compensation structure for non-executive officers at Old Xanadu.</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working with W&amp;G, Old Xanadu used the following criteria to determine a competitive peer group for purposes of benchmarking executive and director compensation:</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311"/>
        <w:gridCol w:w="9825"/>
      </w:tblGrid>
      <w:tr>
        <w:trPr/>
        <w:tc>
          <w:tcPr>
            <w:tcW w:w="6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w:t>
            </w:r>
          </w:p>
        </w:tc>
        <w:tc>
          <w:tcPr>
            <w:tcW w:w="9825" w:type="dxa"/>
            <w:tcBorders/>
            <w:vAlign w:val="center"/>
          </w:tcPr>
          <w:p>
            <w:pPr>
              <w:pStyle w:val="TableContents"/>
              <w:bidi w:val="0"/>
              <w:spacing w:before="0" w:after="283"/>
              <w:jc w:val="both"/>
              <w:rPr/>
            </w:pPr>
            <w:r>
              <w:rPr/>
              <w:t>companies who belong to similar industry segments;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3"/>
        <w:gridCol w:w="9896"/>
      </w:tblGrid>
      <w:tr>
        <w:trPr/>
        <w:tc>
          <w:tcPr>
            <w:tcW w:w="5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w:t>
            </w:r>
          </w:p>
        </w:tc>
        <w:tc>
          <w:tcPr>
            <w:tcW w:w="9896" w:type="dxa"/>
            <w:tcBorders/>
            <w:vAlign w:val="center"/>
          </w:tcPr>
          <w:p>
            <w:pPr>
              <w:pStyle w:val="TableContents"/>
              <w:bidi w:val="0"/>
              <w:spacing w:before="0" w:after="283"/>
              <w:jc w:val="both"/>
              <w:rPr/>
            </w:pPr>
            <w:r>
              <w:rPr/>
              <w:t>publicly-traded companies on major Canadian and/or U.S. exchanges.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4"/>
        <w:gridCol w:w="9956"/>
      </w:tblGrid>
      <w:tr>
        <w:trPr/>
        <w:tc>
          <w:tcPr>
            <w:tcW w:w="4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w:t>
            </w:r>
          </w:p>
        </w:tc>
        <w:tc>
          <w:tcPr>
            <w:tcW w:w="9956" w:type="dxa"/>
            <w:tcBorders/>
            <w:vAlign w:val="center"/>
          </w:tcPr>
          <w:p>
            <w:pPr>
              <w:pStyle w:val="TableContents"/>
              <w:bidi w:val="0"/>
              <w:spacing w:before="0" w:after="283"/>
              <w:jc w:val="both"/>
              <w:rPr/>
            </w:pPr>
            <w:r>
              <w:rPr/>
              <w:t>Using the above criteria, the following compensation peer group was established for us: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0"/>
        <w:gridCol w:w="717"/>
        <w:gridCol w:w="9328"/>
      </w:tblGrid>
      <w:tr>
        <w:trPr/>
        <w:tc>
          <w:tcPr>
            <w:tcW w:w="16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pPr>
            <w:r>
              <w:rPr/>
              <w:t>●</w:t>
            </w:r>
          </w:p>
        </w:tc>
        <w:tc>
          <w:tcPr>
            <w:tcW w:w="9328" w:type="dxa"/>
            <w:tcBorders/>
            <w:vAlign w:val="center"/>
          </w:tcPr>
          <w:p>
            <w:pPr>
              <w:pStyle w:val="TableContents"/>
              <w:bidi w:val="0"/>
              <w:spacing w:before="0" w:after="283"/>
              <w:jc w:val="both"/>
              <w:rPr/>
            </w:pPr>
            <w:r>
              <w:rPr/>
              <w:t>D-Wave Quantum Inc.</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18"/>
        <w:gridCol w:w="1424"/>
        <w:gridCol w:w="8463"/>
      </w:tblGrid>
      <w:tr>
        <w:trPr/>
        <w:tc>
          <w:tcPr>
            <w:tcW w:w="318"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pPr>
            <w:r>
              <w:rPr/>
              <w:t>●</w:t>
            </w:r>
          </w:p>
        </w:tc>
        <w:tc>
          <w:tcPr>
            <w:tcW w:w="8463" w:type="dxa"/>
            <w:tcBorders/>
            <w:vAlign w:val="center"/>
          </w:tcPr>
          <w:p>
            <w:pPr>
              <w:pStyle w:val="TableContents"/>
              <w:bidi w:val="0"/>
              <w:spacing w:before="0" w:after="283"/>
              <w:jc w:val="both"/>
              <w:rPr/>
            </w:pPr>
            <w:r>
              <w:rPr/>
              <w:t>IonQ, Inc.</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649"/>
        <w:gridCol w:w="9412"/>
      </w:tblGrid>
      <w:tr>
        <w:trPr/>
        <w:tc>
          <w:tcPr>
            <w:tcW w:w="14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pPr>
            <w:r>
              <w:rPr/>
              <w:t>●</w:t>
            </w:r>
          </w:p>
        </w:tc>
        <w:tc>
          <w:tcPr>
            <w:tcW w:w="9412" w:type="dxa"/>
            <w:tcBorders/>
            <w:vAlign w:val="center"/>
          </w:tcPr>
          <w:p>
            <w:pPr>
              <w:pStyle w:val="TableContents"/>
              <w:bidi w:val="0"/>
              <w:spacing w:before="0" w:after="283"/>
              <w:jc w:val="both"/>
              <w:rPr/>
            </w:pPr>
            <w:r>
              <w:rPr/>
              <w:t>Quantum Computing Inc.</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6"/>
        <w:gridCol w:w="700"/>
        <w:gridCol w:w="9349"/>
      </w:tblGrid>
      <w:tr>
        <w:trPr/>
        <w:tc>
          <w:tcPr>
            <w:tcW w:w="15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pPr>
            <w:r>
              <w:rPr/>
              <w:t>●</w:t>
            </w:r>
          </w:p>
        </w:tc>
        <w:tc>
          <w:tcPr>
            <w:tcW w:w="9349" w:type="dxa"/>
            <w:tcBorders/>
            <w:vAlign w:val="center"/>
          </w:tcPr>
          <w:p>
            <w:pPr>
              <w:pStyle w:val="TableContents"/>
              <w:bidi w:val="0"/>
              <w:spacing w:before="0" w:after="283"/>
              <w:jc w:val="both"/>
              <w:rPr/>
            </w:pPr>
            <w:r>
              <w:rPr/>
              <w:t>Rigetti Computing, Inc.</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set market-competitive levels of compensation by considering the compensation paid by members of the compensation peer group to each of their executives. We also consider data from third party compensation surveys.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W&amp;G’s fees incurred to date for services provided to Old Xanadu are as follows:</w:t>
      </w:r>
    </w:p>
    <w:p>
      <w:pPr>
        <w:pStyle w:val="TextBody"/>
        <w:bidi w:val="0"/>
        <w:spacing w:before="0" w:after="0"/>
        <w:ind w:left="0" w:right="0" w:firstLine="360"/>
        <w:jc w:val="both"/>
        <w:rPr>
          <w:caps w:val="false"/>
          <w:smallCaps w:val="false"/>
        </w:rPr>
      </w:pPr>
      <w:r>
        <w:rPr>
          <w:caps w:val="false"/>
          <w:smallCaps w:val="false"/>
        </w:rPr>
        <w:t> </w:t>
      </w:r>
    </w:p>
    <w:tbl>
      <w:tblPr>
        <w:tblW w:w="5530" w:type="dxa"/>
        <w:jc w:val="left"/>
        <w:tblInd w:w="0" w:type="dxa"/>
        <w:tblLayout w:type="fixed"/>
        <w:tblCellMar>
          <w:top w:w="0" w:type="dxa"/>
          <w:left w:w="0" w:type="dxa"/>
          <w:bottom w:w="28" w:type="dxa"/>
          <w:right w:w="0" w:type="dxa"/>
        </w:tblCellMar>
      </w:tblPr>
      <w:tblGrid>
        <w:gridCol w:w="1925"/>
        <w:gridCol w:w="60"/>
        <w:gridCol w:w="305"/>
        <w:gridCol w:w="1295"/>
        <w:gridCol w:w="60"/>
        <w:gridCol w:w="60"/>
        <w:gridCol w:w="305"/>
        <w:gridCol w:w="1445"/>
        <w:gridCol w:w="75"/>
      </w:tblGrid>
      <w:tr>
        <w:trPr/>
        <w:tc>
          <w:tcPr>
            <w:tcW w:w="1925" w:type="dxa"/>
            <w:tcBorders>
              <w:bottom w:val="single" w:sz="12" w:space="0" w:color="000000"/>
            </w:tcBorders>
            <w:vAlign w:val="center"/>
          </w:tcPr>
          <w:p>
            <w:pPr>
              <w:pStyle w:val="TableContents"/>
              <w:bidi w:val="0"/>
              <w:spacing w:before="0" w:after="283"/>
              <w:jc w:val="left"/>
              <w:rPr>
                <w:b/>
                <w:strike w:val="false"/>
                <w:dstrike w:val="false"/>
                <w:u w:val="none"/>
                <w:effect w:val="none"/>
              </w:rPr>
            </w:pPr>
            <w:r>
              <w:rPr>
                <w:b/>
                <w:strike w:val="false"/>
                <w:dstrike w:val="false"/>
                <w:u w:val="none"/>
                <w:effect w:val="none"/>
              </w:rPr>
              <w:t>Fiscal Year Ended</w:t>
            </w:r>
          </w:p>
        </w:tc>
        <w:tc>
          <w:tcPr>
            <w:tcW w:w="60" w:type="dxa"/>
            <w:tcBorders/>
            <w:tcMar>
              <w:bottom w:w="0" w:type="dxa"/>
            </w:tcMar>
            <w:vAlign w:val="center"/>
          </w:tcPr>
          <w:p>
            <w:pPr>
              <w:pStyle w:val="TableContents"/>
              <w:bidi w:val="0"/>
              <w:spacing w:before="0" w:after="283"/>
              <w:jc w:val="center"/>
              <w:rPr/>
            </w:pPr>
            <w:r>
              <w:rPr/>
              <w:t> </w:t>
            </w:r>
          </w:p>
        </w:tc>
        <w:tc>
          <w:tcPr>
            <w:tcW w:w="305" w:type="dxa"/>
            <w:tcBorders>
              <w:bottom w:val="single" w:sz="12" w:space="0" w:color="000000"/>
            </w:tcBorders>
            <w:vAlign w:val="center"/>
          </w:tcPr>
          <w:p>
            <w:pPr>
              <w:pStyle w:val="TableContents"/>
              <w:bidi w:val="0"/>
              <w:spacing w:before="0" w:after="283"/>
              <w:jc w:val="center"/>
              <w:rPr/>
            </w:pPr>
            <w:r>
              <w:rPr/>
              <w:t> </w:t>
            </w:r>
          </w:p>
        </w:tc>
        <w:tc>
          <w:tcPr>
            <w:tcW w:w="1295" w:type="dxa"/>
            <w:tcBorders>
              <w:bottom w:val="single" w:sz="12" w:space="0" w:color="000000"/>
            </w:tcBorders>
            <w:vAlign w:val="center"/>
          </w:tcPr>
          <w:p>
            <w:pPr>
              <w:pStyle w:val="TableContents"/>
              <w:bidi w:val="0"/>
              <w:spacing w:before="0" w:after="283"/>
              <w:jc w:val="center"/>
              <w:rPr>
                <w:rFonts w:ascii="Times New Roman;Times;Serif" w:hAnsi="Times New Roman;Times;Serif"/>
                <w:b/>
                <w:strike w:val="false"/>
                <w:dstrike w:val="false"/>
                <w:sz w:val="20"/>
                <w:u w:val="none"/>
                <w:effect w:val="none"/>
              </w:rPr>
            </w:pPr>
            <w:r>
              <w:rPr>
                <w:rFonts w:ascii="Times New Roman;Times;Serif" w:hAnsi="Times New Roman;Times;Serif"/>
                <w:b/>
                <w:strike w:val="false"/>
                <w:dstrike w:val="false"/>
                <w:sz w:val="20"/>
                <w:u w:val="none"/>
                <w:effect w:val="none"/>
              </w:rPr>
              <w:t xml:space="preserve">Executive </w:t>
              <w:br/>
              <w:t>Compensation-</w:t>
              <w:br/>
              <w:t>Related Fees</w:t>
            </w:r>
            <w:r>
              <w:rPr>
                <w:rFonts w:ascii="Times New Roman;Times;Serif" w:hAnsi="Times New Roman;Times;Serif"/>
                <w:b/>
                <w:strike w:val="false"/>
                <w:dstrike w:val="false"/>
                <w:position w:val="7"/>
                <w:sz w:val="16"/>
                <w:sz w:val="20"/>
                <w:u w:val="none"/>
                <w:effect w:val="none"/>
              </w:rPr>
              <w:t>(1)</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05" w:type="dxa"/>
            <w:tcBorders>
              <w:bottom w:val="single" w:sz="12" w:space="0" w:color="000000"/>
            </w:tcBorders>
            <w:vAlign w:val="center"/>
          </w:tcPr>
          <w:p>
            <w:pPr>
              <w:pStyle w:val="TableContents"/>
              <w:bidi w:val="0"/>
              <w:spacing w:before="0" w:after="283"/>
              <w:jc w:val="center"/>
              <w:rPr/>
            </w:pPr>
            <w:r>
              <w:rPr/>
              <w:t> </w:t>
            </w:r>
          </w:p>
        </w:tc>
        <w:tc>
          <w:tcPr>
            <w:tcW w:w="1445" w:type="dxa"/>
            <w:tcBorders>
              <w:bottom w:val="single" w:sz="12" w:space="0" w:color="000000"/>
            </w:tcBorders>
            <w:vAlign w:val="center"/>
          </w:tcPr>
          <w:p>
            <w:pPr>
              <w:pStyle w:val="TableContents"/>
              <w:bidi w:val="0"/>
              <w:spacing w:before="0" w:after="283"/>
              <w:jc w:val="center"/>
              <w:rPr>
                <w:rFonts w:ascii="Times New Roman;Times;Serif" w:hAnsi="Times New Roman;Times;Serif"/>
                <w:b/>
                <w:strike w:val="false"/>
                <w:dstrike w:val="false"/>
                <w:sz w:val="20"/>
                <w:u w:val="none"/>
                <w:effect w:val="none"/>
              </w:rPr>
            </w:pPr>
            <w:r>
              <w:rPr>
                <w:rFonts w:ascii="Times New Roman;Times;Serif" w:hAnsi="Times New Roman;Times;Serif"/>
                <w:b/>
                <w:strike w:val="false"/>
                <w:dstrike w:val="false"/>
                <w:sz w:val="20"/>
                <w:u w:val="none"/>
                <w:effect w:val="none"/>
              </w:rPr>
              <w:t>All Other Fees</w:t>
            </w:r>
            <w:r>
              <w:rPr>
                <w:rFonts w:ascii="Times New Roman;Times;Serif" w:hAnsi="Times New Roman;Times;Serif"/>
                <w:b/>
                <w:strike w:val="false"/>
                <w:dstrike w:val="false"/>
                <w:position w:val="7"/>
                <w:sz w:val="16"/>
                <w:sz w:val="20"/>
                <w:u w:val="none"/>
                <w:effect w:val="none"/>
              </w:rPr>
              <w:t>(2)</w:t>
            </w:r>
          </w:p>
        </w:tc>
        <w:tc>
          <w:tcPr>
            <w:tcW w:w="75" w:type="dxa"/>
            <w:tcBorders/>
            <w:tcMar>
              <w:bottom w:w="0" w:type="dxa"/>
            </w:tcMar>
            <w:vAlign w:val="center"/>
          </w:tcPr>
          <w:p>
            <w:pPr>
              <w:pStyle w:val="TableContents"/>
              <w:bidi w:val="0"/>
              <w:spacing w:before="0" w:after="283"/>
              <w:jc w:val="center"/>
              <w:rPr/>
            </w:pPr>
            <w:r>
              <w:rPr/>
              <w:t> </w:t>
            </w:r>
          </w:p>
        </w:tc>
      </w:tr>
      <w:tr>
        <w:trPr/>
        <w:tc>
          <w:tcPr>
            <w:tcW w:w="1925" w:type="dxa"/>
            <w:tcBorders/>
            <w:shd w:fill="CCEEFF" w:val="clear"/>
            <w:tcMar>
              <w:bottom w:w="0" w:type="dxa"/>
            </w:tcMar>
            <w:vAlign w:val="center"/>
          </w:tcPr>
          <w:p>
            <w:pPr>
              <w:pStyle w:val="TableContents"/>
              <w:bidi w:val="0"/>
              <w:spacing w:before="0" w:after="283"/>
              <w:jc w:val="left"/>
              <w:rPr/>
            </w:pPr>
            <w:r>
              <w:rPr/>
              <w:t>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5" w:type="dxa"/>
            <w:tcBorders/>
            <w:shd w:fill="CCEEFF" w:val="clear"/>
            <w:tcMar>
              <w:bottom w:w="0" w:type="dxa"/>
            </w:tcMar>
            <w:vAlign w:val="center"/>
          </w:tcPr>
          <w:p>
            <w:pPr>
              <w:pStyle w:val="TableContents"/>
              <w:bidi w:val="0"/>
              <w:spacing w:before="0" w:after="283"/>
              <w:jc w:val="left"/>
              <w:rPr/>
            </w:pPr>
            <w:r>
              <w:rPr/>
              <w:t>C$</w:t>
            </w:r>
          </w:p>
        </w:tc>
        <w:tc>
          <w:tcPr>
            <w:tcW w:w="12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40,503.26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5" w:type="dxa"/>
            <w:tcBorders/>
            <w:shd w:fill="CCEEFF" w:val="clear"/>
            <w:tcMar>
              <w:bottom w:w="0" w:type="dxa"/>
            </w:tcMar>
            <w:vAlign w:val="center"/>
          </w:tcPr>
          <w:p>
            <w:pPr>
              <w:pStyle w:val="TableContents"/>
              <w:bidi w:val="0"/>
              <w:spacing w:before="0" w:after="283"/>
              <w:jc w:val="left"/>
              <w:rPr/>
            </w:pPr>
            <w:r>
              <w:rPr/>
              <w:t>C$</w:t>
            </w:r>
          </w:p>
        </w:tc>
        <w:tc>
          <w:tcPr>
            <w:tcW w:w="14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69,164.28</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305"/>
        <w:gridCol w:w="9020"/>
      </w:tblGrid>
      <w:tr>
        <w:trPr/>
        <w:tc>
          <w:tcPr>
            <w:tcW w:w="305" w:type="dxa"/>
            <w:tcBorders/>
            <w:vAlign w:val="center"/>
          </w:tcPr>
          <w:p>
            <w:pPr>
              <w:pStyle w:val="TableContents"/>
              <w:bidi w:val="0"/>
              <w:spacing w:before="0" w:after="283"/>
              <w:jc w:val="left"/>
              <w:rPr/>
            </w:pPr>
            <w:r>
              <w:rPr/>
              <w:t>(1)</w:t>
            </w:r>
          </w:p>
        </w:tc>
        <w:tc>
          <w:tcPr>
            <w:tcW w:w="9020" w:type="dxa"/>
            <w:tcBorders/>
            <w:vAlign w:val="center"/>
          </w:tcPr>
          <w:p>
            <w:pPr>
              <w:pStyle w:val="TableContents"/>
              <w:bidi w:val="0"/>
              <w:spacing w:before="0" w:after="283"/>
              <w:jc w:val="both"/>
              <w:rPr/>
            </w:pPr>
            <w:r>
              <w:rPr/>
              <w:t>Fees incurred for advice in respect of executive compensation-related services described above.</w:t>
            </w:r>
          </w:p>
        </w:tc>
      </w:tr>
    </w:tbl>
    <w:p>
      <w:pPr>
        <w:pStyle w:val="TextBody"/>
        <w:bidi w:val="0"/>
        <w:spacing w:before="0" w:after="0"/>
        <w:ind w:left="360" w:right="0" w:hanging="360"/>
        <w:jc w:val="both"/>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305"/>
        <w:gridCol w:w="8405"/>
      </w:tblGrid>
      <w:tr>
        <w:trPr/>
        <w:tc>
          <w:tcPr>
            <w:tcW w:w="305" w:type="dxa"/>
            <w:tcBorders/>
            <w:vAlign w:val="center"/>
          </w:tcPr>
          <w:p>
            <w:pPr>
              <w:pStyle w:val="TableContents"/>
              <w:bidi w:val="0"/>
              <w:spacing w:before="0" w:after="283"/>
              <w:jc w:val="left"/>
              <w:rPr/>
            </w:pPr>
            <w:r>
              <w:rPr/>
              <w:t>(2)</w:t>
            </w:r>
          </w:p>
        </w:tc>
        <w:tc>
          <w:tcPr>
            <w:tcW w:w="8405" w:type="dxa"/>
            <w:tcBorders/>
            <w:vAlign w:val="center"/>
          </w:tcPr>
          <w:p>
            <w:pPr>
              <w:pStyle w:val="TableContents"/>
              <w:bidi w:val="0"/>
              <w:spacing w:before="0" w:after="283"/>
              <w:jc w:val="both"/>
              <w:rPr/>
            </w:pPr>
            <w:r>
              <w:rPr/>
              <w:t>Fees incurred for advice in respect of non-executive officer and employee compensation.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Compensia, Inc. was engaged to provide services on an ad-hoc basis to the Governance, Compensation and Nominating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131</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Elements of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ending December 31, 2026, our compensation program consists primarily of the following elements: base salary, long-term equity incentives and benefits. Over the course of the fiscal year, we will consider whether to provide annual bonuses or other short-term incentives for the fiscal year ending December 31, 2026. Perquisites are not a significant element of compensation for NEOs.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 Salary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salary is provided as a fixed source of compensation for our NEOs. Base salaries for NEOs are established based on the scope of their responsibilities, competencies and their prior relevant experience, taking into account compensation paid in the market for similar positions, the market demand for such NEOs and the NEO’s total compensation package. Base salaries are reviewed annually and increased for merit reasons, based on the executive’s success in meeting or exceeding individual objectives. Additionally, base salaries can be adjusted as warranted throughout the year to reflect promotions or other changes in the scope of breadth of an executive’s role or responsibilities, as well as to maintain market competitiveness.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Employee Benefits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standard health, dental, and life insurance benefits to our executive officers in Canada, and standard medical, dental and vision insurance to our executive officers in the United States, in either case on the same terms and conditions as provided to all other eligible employees in the applicable jurisdiction. We will consider adopting additional benefits for our executive officers in the fiscal year ending December 31, 2026. Other than a 401(k) retirement savings plan with a non-elective employer contribution of 3% of salary that is available to eligible employees in the United States, we do not offer a deferred compensation plan or pension plan. We do not provide perquisites that are not generally available on a non-discriminatory basis to all of our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Long-Term Incentives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Equity-based awards are a variable element of compensation that allow us to reward our NEOs for their sustained contributions to the company. We believe that options and other equity-based compensation such as performance share units and restricted share units provide NEOs with a strong link to long-term corporate performance and the creation of shareholder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Old Xanadu has issued options under (a) the Stock Option Plan dated as of January 15, 2017, as amended; (b) the 2017 Equity Incentive Plan, dated as of October 30, 2017, as amended; and (c) the 2018 Equity Incentive Plan, dated as of April 6, 2018 (collectively, the “Legacy Equity Plans”). Pursuant to the Arrangement, outstanding Old Xanadu Options were exchanged for options to purchase Shares (with the number of Shares subject to each such option and the exercise price being adjusted by an exchange ratio in accordance with the terms of the Arrangement), and such options remain outstanding under the applicable Legacy Equity Plans. No equity awards will be granted under the Legacy Equity Plans following the Closing.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we adopted the Omnibus Plan (as defined below) for future awards to eligible directors, officers, employees and consultants of the Company and its subsidiaries. See “— Long-Term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Long-Term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Types of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omnibus plan (the “Omnibus Plan”) provides for the grant of options (“Options”), share appreciation rights (“SARs”), restricted share units (“RSUs”), performance share units (“PSUs”), deferred share units (“DSUs”), and other share-based awards (“Other Share-Based Awards” and together with the Options, SARs, RSUs, PSUs and DSUs, the “Awards”). All Awards are granted by an agreement evidencing the Award (an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132</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Eligible Participants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may be granted to employees, directors or consultants of the Company and its designated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Plan Administration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Omnibus Plan is administered by our Board, which may delegate its authority to any duly authorized committee of our Board (the “Plan Administrator”). The Plan Administrator has sole and complete authority, in its discretion, to:</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6"/>
        <w:gridCol w:w="9954"/>
      </w:tblGrid>
      <w:tr>
        <w:trPr/>
        <w:tc>
          <w:tcPr>
            <w:tcW w:w="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w:t>
            </w:r>
          </w:p>
        </w:tc>
        <w:tc>
          <w:tcPr>
            <w:tcW w:w="9954" w:type="dxa"/>
            <w:tcBorders/>
            <w:vAlign w:val="center"/>
          </w:tcPr>
          <w:p>
            <w:pPr>
              <w:pStyle w:val="TableContents"/>
              <w:bidi w:val="0"/>
              <w:spacing w:before="0" w:after="283"/>
              <w:jc w:val="both"/>
              <w:rPr/>
            </w:pPr>
            <w:r>
              <w:rPr/>
              <w:t>determine the individuals (the “Participants”) to whom grants of Awards may be made;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make grants of Awards relating to the issuance of Class B Subordinate Voting Shares, in such amounts, to such Participants and on such terms and conditions as it determines, including:</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343"/>
        <w:gridCol w:w="9786"/>
      </w:tblGrid>
      <w:tr>
        <w:trPr/>
        <w:tc>
          <w:tcPr>
            <w:tcW w:w="7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w:t>
            </w:r>
          </w:p>
        </w:tc>
        <w:tc>
          <w:tcPr>
            <w:tcW w:w="9786" w:type="dxa"/>
            <w:tcBorders/>
            <w:vAlign w:val="center"/>
          </w:tcPr>
          <w:p>
            <w:pPr>
              <w:pStyle w:val="TableContents"/>
              <w:bidi w:val="0"/>
              <w:spacing w:before="0" w:after="283"/>
              <w:jc w:val="both"/>
              <w:rPr/>
            </w:pPr>
            <w:r>
              <w:rPr/>
              <w:t>the time or times at which Awards may be granted;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conditions under which: (i) Awards may be granted to Participants; or (ii) Awards may be forfeited to the Company, including any conditions relating to the attainment of specified performance goals;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23"/>
        <w:gridCol w:w="9933"/>
      </w:tblGrid>
      <w:tr>
        <w:trPr/>
        <w:tc>
          <w:tcPr>
            <w:tcW w:w="4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w:t>
            </w:r>
          </w:p>
        </w:tc>
        <w:tc>
          <w:tcPr>
            <w:tcW w:w="9933" w:type="dxa"/>
            <w:tcBorders/>
            <w:vAlign w:val="center"/>
          </w:tcPr>
          <w:p>
            <w:pPr>
              <w:pStyle w:val="TableContents"/>
              <w:bidi w:val="0"/>
              <w:spacing w:before="0" w:after="283"/>
              <w:jc w:val="both"/>
              <w:rPr/>
            </w:pPr>
            <w:r>
              <w:rPr/>
              <w:t>the number of Class B Subordinate Voting Shares to be covered by any Award;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price, if any, to be paid by a Participant in connection with the purchase of Class B Subordinate Voting Shares covered by any Awards;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whether restrictions or limitations are to be imposed on the Class B Subordinate Voting Shares issuable pursuant to grants of any Award, and the nature of such restrictions or limitations, if any;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acceleration of exercisability or vesting, or waiver of termination regarding any Award, based on such factors as the Plan Administrator may determine;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determine whether each Option is to be an incentive stock option within the meaning of Section 422 of the Internal Revenue Code (“ISO”) or a non-qualified stock option;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determine whether each Option is to be eligible for the deduction pursuant to paragraph 110(1)(d) of the </w:t>
            </w:r>
            <w:r>
              <w:rPr>
                <w:i/>
              </w:rPr>
              <w:t xml:space="preserve">Income Tax Act </w:t>
            </w:r>
            <w:r>
              <w:rPr/>
              <w:t>(Canada);</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347"/>
        <w:gridCol w:w="9781"/>
      </w:tblGrid>
      <w:tr>
        <w:trPr/>
        <w:tc>
          <w:tcPr>
            <w:tcW w:w="7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w:t>
            </w:r>
          </w:p>
        </w:tc>
        <w:tc>
          <w:tcPr>
            <w:tcW w:w="9781" w:type="dxa"/>
            <w:tcBorders/>
            <w:vAlign w:val="center"/>
          </w:tcPr>
          <w:p>
            <w:pPr>
              <w:pStyle w:val="TableContents"/>
              <w:bidi w:val="0"/>
              <w:spacing w:before="0" w:after="283"/>
              <w:jc w:val="both"/>
              <w:rPr/>
            </w:pPr>
            <w:r>
              <w:rPr/>
              <w:t>establish the form or forms of Award Agreements;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cancel, amend, adjust or otherwise change any Award under such circumstances as the Plan Administrator may consider appropriate in accordance with the provisions of the Omnibus Plan;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59"/>
        <w:gridCol w:w="9889"/>
      </w:tblGrid>
      <w:tr>
        <w:trPr/>
        <w:tc>
          <w:tcPr>
            <w:tcW w:w="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w:t>
            </w:r>
          </w:p>
        </w:tc>
        <w:tc>
          <w:tcPr>
            <w:tcW w:w="9889" w:type="dxa"/>
            <w:tcBorders/>
            <w:vAlign w:val="center"/>
          </w:tcPr>
          <w:p>
            <w:pPr>
              <w:pStyle w:val="TableContents"/>
              <w:bidi w:val="0"/>
              <w:spacing w:before="0" w:after="283"/>
              <w:jc w:val="both"/>
              <w:rPr/>
            </w:pPr>
            <w:r>
              <w:rPr/>
              <w:t>construe and interpret the Omnibus Plan and all Award Agreements;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adopt, amend, prescribe and rescind administrative guidelines and other rules and regulations relating to the Omnibus Plan, including rules and regulations relating to sub-plans established for the purpose of satisfying applicable foreign laws or for qualifying for favorable tax treatment under applicable foreign laws;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make all other determinations and take all other actions necessary or advisable for the implementation and administration of the Omnibus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133</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Shares Available for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adjustments as provided for under the Omnibus Plan, the maximum number of Class B Subordinate Voting Shares available for issuance pursuant to Awards granted under the Omnibus Plan will not exceed 15% of the total issued and outstanding Shares from time to time. As of the Closing Date, there are estimated to be approximately 47,313,299 Class B Subordinate Voting Shares reserved and available for issuance under the Omnibus Plan. The number of Class B Subordinate Voting Shares reserved and available for issuance for ISOs cannot exceed 31,542,199.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Omnibus Plan is an “evergreen” plan, since the Class B Subordinate Voting Shares covered by Awards which have been exercised or terminated will be available for subsequent grants under the Omnibus Plan and the total number of Awards available to grant increases as the number of issued and outstanding Class B Subordinate Voting Shares and Class A Multiple Voting Shares increases. Accordingly, the Omnibus Plan must be approved by shareholders every three years for us to continue to grant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Class B Subordinate Voting Shares issued by us through the assumption or substitution of outstanding stock options or other equity-based awards from an entity acquired by us, including in connection with the Business Combination, shall not reduce the number of Class B Subordinate Voting Shares available for issuance pursuant to the exercise or settlement of Awards granted under the Omnibus Plan. Any Class B Subordinate Voting Shares issued by us pursuant to an inducement award in accordance with Section 613(c) of the TSX Company Manual shall not reduce the number of Class B Subordinate Voting Shares available for issuance under the Omnibus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Insider Participation Limit and Other Participation Limits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Class B Subordinate Voting Shares: (i) issuable to Insiders (as defined in the Omnibus Plan) at any time under all of our security based compensation arrangements (which includes the Awards outstanding under the Legacy Equity Plans) may not exceed 10% of our total issued and outstanding Shares; and (ii) issued to Insiders within any one-year period, under all of our security based compensation arrangements may not exceed 10% of our total issued and outstanding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Class B Subordinate Voting Shares issuable to any one Participant under all of our security based compensation arrangements shall not exceed 10% of the issued and outstanding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fair value on the date of grant of Awards issuable to Participants who are non-employee directors under the Omnibus Plan or any other security based compensation arrangement of ours (which, for greater certainty, includes the Legacy Equity Plans) within any one financial year, cannot exceed C$150,000, of which no more than C$100,000 may be granted in the form of Options. Notwithstanding the foregoing, the limits will not apply to any DSUs granted to non-employee directors in respect of a deferral of their annual retainer or to Awards granted to a new non-employee director upon joining our board or one of our designated affiliates.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number of Class B Subordinate Voting Shares issuable with respect to Awards other than Options or SARs is 15% of the total issued and outstanding Shares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Blackout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or settlement period of Awards shall automatically be extended if the date on which such Award is scheduled to expire falls during a blackout period or within five business days following the expiry of such blackout period. In such cases, unless the delayed expiration would result in tax penalties, the Award will expire 10 business days after the last day of the blackout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Option entitles a holder thereof to purchase a Class B Subordinate Voting Share at an exercise price set at the time of the grant, which exercise price must in all cases be not less than the Market Price on the date of grant. For purposes of the Omnibus Plan, “Market Price” is defined as the closing price of the Class B Subordinate Voting Shares on the TSX (or if the Class B Subordinate Voting Shares are listed on more than one stock exchange and the closing price on another exchange is higher, then the highest of such closing prices) on the business day immediately preceding the applicable date. Subject to any accelerated termination as set forth in the Omnibus Plan, each Option shall expire on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anniversary of the date of grant. The Plan Administrator will have the authority to determine the vesting terms applicable to grants of Options and the right to accelerate the date upon which any Option becomes exercisable.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134</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granted to certain Participants who are employees of the Company or one of its subsidiaries may be designated as ISOs, which qualify for special tax treatment in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permit a cashless exercise of Options through a broker assisted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lieu of exercising a vested Option (other than an ISO), the Participant may elect to surrender all or part of the Option for cancellation for an amount equal to the Market Price of the Class B Subordinate Voting Shares on the date of surrender less the exercise price (the “in-the-money amount”) and request that the in-the-money amount be satisfied in cash, in Class B Subordinate Voting Shares with an aggregate Market Price equal to the “in-the-money amount”, or a combination of the two. Notwithstanding any election by the Participant to receive cash, we may choose to issue Class B Subordinate Voting Shares in satisfaction of the in-the-money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Appreciation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SARs may be granted in tandem with the granting of Options, or on a stand-alone basis. The vesting terms of the SAR will be set out in the Participant’s Award Agreement. Upon the exercise of a SAR, a Participant will be issued Class B Subordinate Voting Shares (rounded down to the nearest whole number) with an aggregate Market Price on the date of exercise equal to the product of: (a) the number of SARs exercised; and (b) the amount by which the Market Price of a Class B Subordinate Voting Share on the date of exercise exceeds the Market Price on the grant date. Subject to any accelerated termination provisions set forth in the Omnibus Plan, each SAR shall expire on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anniversary of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Share Units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RSU is a unit equivalent in value to a Class B Subordinate Voting Share that does not vest until after a specified period of time, as determined by the Plan Administrator and set forth in the applicable Award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Omnibus Plan and except as otherwise provided in an Award Agreement, on the settlement date for any vested RSU, such vested RSUs will be settled in the form of a Class B Subordinate Voting Share, a cash payment, or a combination thereof. If the RSUs are settled for a cash payment, the amount of the cash payment will be equal to the number of vested RSUs multiplied by the Market Price on the vesting date. The payment date of any RSUs which the Plan Administrator may elect to settle in cash shall not extend beyond December 31 of the third calendar year in which the services giving rise to the Award were 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Performance Share Units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PSU is a unit equivalent in value to a Class B Subordinate Voting Share which does not vest until the achievement of specified performance goals. The Plan Administrator will determine performance goals prior to the grant date of PSUs to which such performance goals pertain. The performance goals may be based upon the achievement of financial, corporate, divisional and/or personal goals and may be applied to the Company as a whole, any affiliate of the Company or any business unit of the Company or any affiliate of the Company, either individually, alternatively, or in combination, and measured in either total, incrementally, or cumulatively over the specific performance period on an absolute basis or relative to a pre-established target, to previous years’ results or to a designated comparison group. In calculating the level of achievement of the applicable performance goals, the Plan Administrator may, in its sole discretion, make adjustments to the calculation of any performance goals to take into account, to the extent appropriate, the impact of significant events. The performance goals may include a threshold level of performance below which no payment will be made (or no vesting will occur), levels of performance at which specified payments will be made (or specified vesting will occur), and a maximum level of performance above which no additional payment will be made (or at which full vesting of PSUs will occur), all as set forth in the applicable Award Agreement. The number of PSUs that may vest will range from 0-200% depending on the level of achievement of the performance goals.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135</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Omnibus Plan and except as otherwise provided in an Award Agreement, on the settlement date for any vested PSU, such vested PSUs will be settled in the form of a Class B Subordinate Voting Share, a cash payment, or a combination thereof. If the PSUs are settled for a cash payment, the amount of the cash payment will be equal to the number of vested PSUs multiplied by the Market Price on the vesting date. The payment date of any PSUs which the Plan Administrator may elect to settle in cash shall not extend beyond December 31 of the third calendar year in which the services giving rise to the Award were 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Deferred Share Units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DSU is a unit equivalent in value to a Class B Subordinate Voting Share that vests either upon grant (if granted pursuant to an election made by a non-employee director to defer annual retainer fees) or upon such other terms as may be determined by the Plan Administrator, but does not settle until a future date, generally upon termination of service with the Company. The number of DSUs (including fractional DSUs) granted at any particular time will be calculated by dividing (a) the amount of any compensation that is to be paid in DSUs by (b) the Market Price of a Class B Subordinate Voting Share on the grant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Omnibus Plan and except as otherwise provided in an Award Agreement, on the settlement date for any DSU, such DSUs will be settled in the form of a Class B Subordinate Voting Share, a cash payment, or a combination thereof. If the DSUs are settled for a cash payment, the amount of the cash payment will be equal to the number of vested DSUs multiplied by the Market Price on the settlement date. Unless otherwise specified in an Award Agreement, the settlement date will be the 90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the termination of the Participant’s service, provided that if the Plan Administrator may elect to settle the DSUs in cash, then the settlement date will be no later than December 15 of the year following the year in which the Participant’s service terminates.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Share-Based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Other Share-Based Award shall consist of a right (a) which is other than an Award or right described above, and (b) which is denominated or payable in, valued in whole or in part by reference to, or otherwise based on or related to, Class B Subordinate Voting Shares (including, without limitation, securities convertible into Class B Subordinate Voting Shares) as are deemed by the Plan Administrator to be consistent with the purposes of the Omnibus Plan; provided, however, that such right will comply with applicable law (including applicable securities laws and be subject to any required approval of the TSX or any other applicable stock exchange (which may include shareholder approval)). Subject to the terms of the Omnibus Plan and any applicable Award Agreement, the Plan Administrator will determine the terms and conditions of Other Share-Based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Equivalents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determined by the Plan Administrator and set forth in the particular Award Agreement, RSUs, PSUs and DSUs will be credited with dividend equivalents in the form of additional RSUs, PSUs or DSUs, as applicable, as of each dividend payment date in respect of which normal cash dividends are paid on Class B Subordinate Voting Shares. Dividend equivalents will vest in proportion to the underlying Awards to which they relate and will be settled in the same manner as such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Recoupment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awards will be subject to the provisions of our compensation recovery policy to the extent set forth in such compensation recovery policy. See “— Clawback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subdivision or consolidation of Class B Subordinate Voting Shares or any similar capital reorganization or a payment of a stock dividend (other than a stock dividend that is in lieu of a cash dividend), or any amalgamation, combination, arrangement, merger or other transaction or reorganization involving the Company and occurring by exchange of Class B Subordinate Voting Shares, by sale or lease of assets or otherwise, that does not constitute a Change in Control (as defined in the Omnibus Plan), our Board will, subject to the required approval of any stock exchange, determine and authorize the appropriate amendments or replacements of any existing awards and/or the terms of any Award to be made in such circumstances in order to maintain proportionately the rights, value and obligations of the Participants in respect of Awards under the Omnibus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136</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 of Termination of Employment or Engagement on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 Participant’s employment agreement, Award Agreement or other written agreement, the treatment of a Participant’s Awards in connection with a termination of employment or engagement is set out in the table below. The terms of any Option previously outstanding under the Legacy Equity Plans will remain subject to the terms of the Legacy Equity Plans and any applicable option agreement.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24"/>
        <w:gridCol w:w="60"/>
        <w:gridCol w:w="8721"/>
      </w:tblGrid>
      <w:tr>
        <w:trPr/>
        <w:tc>
          <w:tcPr>
            <w:tcW w:w="1424" w:type="dxa"/>
            <w:tcBorders>
              <w:bottom w:val="single" w:sz="12" w:space="0" w:color="000000"/>
            </w:tcBorders>
            <w:vAlign w:val="center"/>
          </w:tcPr>
          <w:p>
            <w:pPr>
              <w:pStyle w:val="TableContents"/>
              <w:bidi w:val="0"/>
              <w:spacing w:before="0" w:after="283"/>
              <w:jc w:val="left"/>
              <w:rPr>
                <w:b/>
              </w:rPr>
            </w:pPr>
            <w:r>
              <w:rPr>
                <w:b/>
              </w:rPr>
              <w:t>Termination Event</w:t>
            </w:r>
          </w:p>
        </w:tc>
        <w:tc>
          <w:tcPr>
            <w:tcW w:w="60" w:type="dxa"/>
            <w:tcBorders/>
            <w:tcMar>
              <w:bottom w:w="0" w:type="dxa"/>
            </w:tcMar>
            <w:vAlign w:val="center"/>
          </w:tcPr>
          <w:p>
            <w:pPr>
              <w:pStyle w:val="TableContents"/>
              <w:bidi w:val="0"/>
              <w:spacing w:before="0" w:after="283"/>
              <w:jc w:val="left"/>
              <w:rPr/>
            </w:pPr>
            <w:r>
              <w:rPr/>
              <w:t> </w:t>
            </w:r>
          </w:p>
        </w:tc>
        <w:tc>
          <w:tcPr>
            <w:tcW w:w="8721" w:type="dxa"/>
            <w:tcBorders>
              <w:bottom w:val="single" w:sz="12" w:space="0" w:color="000000"/>
            </w:tcBorders>
            <w:vAlign w:val="center"/>
          </w:tcPr>
          <w:p>
            <w:pPr>
              <w:pStyle w:val="TableContents"/>
              <w:bidi w:val="0"/>
              <w:spacing w:before="0" w:after="283"/>
              <w:jc w:val="center"/>
              <w:rPr>
                <w:b/>
              </w:rPr>
            </w:pPr>
            <w:r>
              <w:rPr>
                <w:b/>
              </w:rPr>
              <w:t>Provisions</w:t>
            </w:r>
          </w:p>
        </w:tc>
      </w:tr>
      <w:tr>
        <w:trPr/>
        <w:tc>
          <w:tcPr>
            <w:tcW w:w="1424" w:type="dxa"/>
            <w:tcBorders/>
            <w:tcMar>
              <w:bottom w:w="0" w:type="dxa"/>
            </w:tcMar>
            <w:vAlign w:val="center"/>
          </w:tcPr>
          <w:p>
            <w:pPr>
              <w:pStyle w:val="TableContents"/>
              <w:bidi w:val="0"/>
              <w:spacing w:before="0" w:after="283"/>
              <w:jc w:val="left"/>
              <w:rPr/>
            </w:pPr>
            <w:r>
              <w:rPr/>
              <w:t>Death or Disability</w:t>
            </w:r>
          </w:p>
        </w:tc>
        <w:tc>
          <w:tcPr>
            <w:tcW w:w="60" w:type="dxa"/>
            <w:tcBorders/>
            <w:tcMar>
              <w:bottom w:w="0" w:type="dxa"/>
            </w:tcMar>
            <w:vAlign w:val="center"/>
          </w:tcPr>
          <w:p>
            <w:pPr>
              <w:pStyle w:val="TableContents"/>
              <w:bidi w:val="0"/>
              <w:spacing w:before="0" w:after="283"/>
              <w:jc w:val="left"/>
              <w:rPr/>
            </w:pPr>
            <w:r>
              <w:rPr/>
              <w:t> </w:t>
            </w:r>
          </w:p>
        </w:tc>
        <w:tc>
          <w:tcPr>
            <w:tcW w:w="8721" w:type="dxa"/>
            <w:tcBorders/>
            <w:tcMar>
              <w:bottom w:w="0" w:type="dxa"/>
            </w:tcMar>
            <w:vAlign w:val="center"/>
          </w:tcPr>
          <w:p>
            <w:pPr>
              <w:pStyle w:val="TableContents"/>
              <w:bidi w:val="0"/>
              <w:spacing w:before="0" w:after="283"/>
              <w:jc w:val="both"/>
              <w:rPr/>
            </w:pPr>
            <w:r>
              <w:rPr/>
              <w:t>A portion of any unvested Awards will immediately vest on the termination date, such portion equal to the number of unvested Awards held by the Participant next due to vest multiplied by a fraction, the numerator of which is the number of days between the last vesting date (or if none have vested, the grant date) and the termination date and the denominator of which is the number of days between the last vesting date (or if none have vested, the grant date) and the next date of any unvested Awards were originally scheduled to vest. Vested Options and SARs remain exercisable until the expiry date. The performance multiplier applicable to any performance criteria assigned to such Awards will be deemed to be 100%. Any Award that does not vest will be forfeited as of the termination date.</w:t>
            </w:r>
          </w:p>
        </w:tc>
      </w:tr>
      <w:tr>
        <w:trPr/>
        <w:tc>
          <w:tcPr>
            <w:tcW w:w="142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21" w:type="dxa"/>
            <w:tcBorders/>
            <w:tcMar>
              <w:bottom w:w="0" w:type="dxa"/>
            </w:tcMar>
            <w:vAlign w:val="center"/>
          </w:tcPr>
          <w:p>
            <w:pPr>
              <w:pStyle w:val="TableContents"/>
              <w:bidi w:val="0"/>
              <w:spacing w:before="0" w:after="283"/>
              <w:jc w:val="both"/>
              <w:rPr/>
            </w:pPr>
            <w:r>
              <w:rPr/>
              <w:t> </w:t>
            </w:r>
          </w:p>
        </w:tc>
      </w:tr>
      <w:tr>
        <w:trPr/>
        <w:tc>
          <w:tcPr>
            <w:tcW w:w="1424" w:type="dxa"/>
            <w:tcBorders/>
            <w:tcMar>
              <w:bottom w:w="0" w:type="dxa"/>
            </w:tcMar>
            <w:vAlign w:val="center"/>
          </w:tcPr>
          <w:p>
            <w:pPr>
              <w:pStyle w:val="TableContents"/>
              <w:bidi w:val="0"/>
              <w:spacing w:before="0" w:after="283"/>
              <w:jc w:val="left"/>
              <w:rPr/>
            </w:pPr>
            <w:r>
              <w:rPr/>
              <w:t>Termination without Cause</w:t>
            </w:r>
          </w:p>
        </w:tc>
        <w:tc>
          <w:tcPr>
            <w:tcW w:w="60" w:type="dxa"/>
            <w:tcBorders/>
            <w:tcMar>
              <w:bottom w:w="0" w:type="dxa"/>
            </w:tcMar>
            <w:vAlign w:val="center"/>
          </w:tcPr>
          <w:p>
            <w:pPr>
              <w:pStyle w:val="TableContents"/>
              <w:bidi w:val="0"/>
              <w:spacing w:before="0" w:after="283"/>
              <w:jc w:val="left"/>
              <w:rPr/>
            </w:pPr>
            <w:r>
              <w:rPr/>
              <w:t> </w:t>
            </w:r>
          </w:p>
        </w:tc>
        <w:tc>
          <w:tcPr>
            <w:tcW w:w="8721" w:type="dxa"/>
            <w:tcBorders/>
            <w:tcMar>
              <w:bottom w:w="0" w:type="dxa"/>
            </w:tcMar>
            <w:vAlign w:val="center"/>
          </w:tcPr>
          <w:p>
            <w:pPr>
              <w:pStyle w:val="TableContents"/>
              <w:bidi w:val="0"/>
              <w:spacing w:before="0" w:after="283"/>
              <w:jc w:val="both"/>
              <w:rPr/>
            </w:pPr>
            <w:r>
              <w:rPr/>
              <w:t>Vesting of a portion of any unvested Awards on the next scheduled vesting date equal to the number of unvested Awards held by the Participant next due to vest multiplied by a fraction, the numerator of which is the number of days between the last vesting date (or if none have vested, the grant date) and the termination date and the denominator of which is the number of days between the last vesting date (or if none have vested, the grant date) and the next date of any unvested Awards were originally scheduled to vest. Vested Options and SARs remain exercisable until the earlier of 90 days following the termination date (or vesting date, if the Option or SAR vests as a result of the participant’s termination) and the expiry date. Any performance goals will be measured based on actual results at the end of the performance period. Any Award that does not vest will be forfeited as of the termination date.</w:t>
            </w:r>
          </w:p>
        </w:tc>
      </w:tr>
      <w:tr>
        <w:trPr/>
        <w:tc>
          <w:tcPr>
            <w:tcW w:w="142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21" w:type="dxa"/>
            <w:tcBorders/>
            <w:tcMar>
              <w:bottom w:w="0" w:type="dxa"/>
            </w:tcMar>
            <w:vAlign w:val="center"/>
          </w:tcPr>
          <w:p>
            <w:pPr>
              <w:pStyle w:val="TableContents"/>
              <w:bidi w:val="0"/>
              <w:spacing w:before="0" w:after="283"/>
              <w:jc w:val="both"/>
              <w:rPr/>
            </w:pPr>
            <w:r>
              <w:rPr/>
              <w:t> </w:t>
            </w:r>
          </w:p>
        </w:tc>
      </w:tr>
      <w:tr>
        <w:trPr/>
        <w:tc>
          <w:tcPr>
            <w:tcW w:w="1424" w:type="dxa"/>
            <w:tcBorders/>
            <w:tcMar>
              <w:bottom w:w="0" w:type="dxa"/>
            </w:tcMar>
            <w:vAlign w:val="center"/>
          </w:tcPr>
          <w:p>
            <w:pPr>
              <w:pStyle w:val="TableContents"/>
              <w:bidi w:val="0"/>
              <w:spacing w:before="0" w:after="283"/>
              <w:jc w:val="left"/>
              <w:rPr/>
            </w:pPr>
            <w:r>
              <w:rPr/>
              <w:t>Resignation</w:t>
            </w:r>
          </w:p>
        </w:tc>
        <w:tc>
          <w:tcPr>
            <w:tcW w:w="60" w:type="dxa"/>
            <w:tcBorders/>
            <w:tcMar>
              <w:bottom w:w="0" w:type="dxa"/>
            </w:tcMar>
            <w:vAlign w:val="center"/>
          </w:tcPr>
          <w:p>
            <w:pPr>
              <w:pStyle w:val="TableContents"/>
              <w:bidi w:val="0"/>
              <w:spacing w:before="0" w:after="283"/>
              <w:jc w:val="left"/>
              <w:rPr/>
            </w:pPr>
            <w:r>
              <w:rPr/>
              <w:t> </w:t>
            </w:r>
          </w:p>
        </w:tc>
        <w:tc>
          <w:tcPr>
            <w:tcW w:w="8721" w:type="dxa"/>
            <w:tcBorders/>
            <w:tcMar>
              <w:bottom w:w="0" w:type="dxa"/>
            </w:tcMar>
            <w:vAlign w:val="center"/>
          </w:tcPr>
          <w:p>
            <w:pPr>
              <w:pStyle w:val="TableContents"/>
              <w:bidi w:val="0"/>
              <w:spacing w:before="0" w:after="283"/>
              <w:jc w:val="both"/>
              <w:rPr/>
            </w:pPr>
            <w:r>
              <w:rPr/>
              <w:t>Vested Options and SARs remain exercisable until the earlier of 90 days following the termination date and the expiry date. Any Award that has not vested as of the termination date will be forfeited as of the termination date.</w:t>
            </w:r>
          </w:p>
        </w:tc>
      </w:tr>
      <w:tr>
        <w:trPr/>
        <w:tc>
          <w:tcPr>
            <w:tcW w:w="142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21" w:type="dxa"/>
            <w:tcBorders/>
            <w:tcMar>
              <w:bottom w:w="0" w:type="dxa"/>
            </w:tcMar>
            <w:vAlign w:val="center"/>
          </w:tcPr>
          <w:p>
            <w:pPr>
              <w:pStyle w:val="TableContents"/>
              <w:bidi w:val="0"/>
              <w:spacing w:before="0" w:after="283"/>
              <w:jc w:val="both"/>
              <w:rPr/>
            </w:pPr>
            <w:r>
              <w:rPr/>
              <w:t> </w:t>
            </w:r>
          </w:p>
        </w:tc>
      </w:tr>
      <w:tr>
        <w:trPr/>
        <w:tc>
          <w:tcPr>
            <w:tcW w:w="1424" w:type="dxa"/>
            <w:tcBorders/>
            <w:tcMar>
              <w:bottom w:w="0" w:type="dxa"/>
            </w:tcMar>
            <w:vAlign w:val="center"/>
          </w:tcPr>
          <w:p>
            <w:pPr>
              <w:pStyle w:val="TableContents"/>
              <w:bidi w:val="0"/>
              <w:spacing w:before="0" w:after="283"/>
              <w:jc w:val="left"/>
              <w:rPr/>
            </w:pPr>
            <w:r>
              <w:rPr/>
              <w:t>Retirement</w:t>
            </w:r>
          </w:p>
        </w:tc>
        <w:tc>
          <w:tcPr>
            <w:tcW w:w="60" w:type="dxa"/>
            <w:tcBorders/>
            <w:tcMar>
              <w:bottom w:w="0" w:type="dxa"/>
            </w:tcMar>
            <w:vAlign w:val="center"/>
          </w:tcPr>
          <w:p>
            <w:pPr>
              <w:pStyle w:val="TableContents"/>
              <w:bidi w:val="0"/>
              <w:spacing w:before="0" w:after="283"/>
              <w:jc w:val="left"/>
              <w:rPr/>
            </w:pPr>
            <w:r>
              <w:rPr/>
              <w:t> </w:t>
            </w:r>
          </w:p>
        </w:tc>
        <w:tc>
          <w:tcPr>
            <w:tcW w:w="8721" w:type="dxa"/>
            <w:tcBorders/>
            <w:tcMar>
              <w:bottom w:w="0" w:type="dxa"/>
            </w:tcMar>
            <w:vAlign w:val="center"/>
          </w:tcPr>
          <w:p>
            <w:pPr>
              <w:pStyle w:val="TableContents"/>
              <w:bidi w:val="0"/>
              <w:spacing w:before="0" w:after="283"/>
              <w:jc w:val="both"/>
              <w:rPr/>
            </w:pPr>
            <w:r>
              <w:rPr/>
              <w:t>In the event of an employee’s Retirement, then provided that they comply with all applicable post-employment obligations, all unvested Awards will continue to vest in accordance with their terms, except that each Option and SAR will be exercisable until the earlier of the date that is three years after the termination date and the expiry date.</w:t>
            </w:r>
          </w:p>
        </w:tc>
      </w:tr>
      <w:tr>
        <w:trPr/>
        <w:tc>
          <w:tcPr>
            <w:tcW w:w="142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21" w:type="dxa"/>
            <w:tcBorders/>
            <w:tcMar>
              <w:bottom w:w="0" w:type="dxa"/>
            </w:tcMar>
            <w:vAlign w:val="center"/>
          </w:tcPr>
          <w:p>
            <w:pPr>
              <w:pStyle w:val="TableContents"/>
              <w:bidi w:val="0"/>
              <w:spacing w:before="0" w:after="283"/>
              <w:jc w:val="both"/>
              <w:rPr/>
            </w:pPr>
            <w:r>
              <w:rPr/>
              <w:t> </w:t>
            </w:r>
          </w:p>
        </w:tc>
      </w:tr>
      <w:tr>
        <w:trPr/>
        <w:tc>
          <w:tcPr>
            <w:tcW w:w="1424" w:type="dxa"/>
            <w:tcBorders/>
            <w:tcMar>
              <w:bottom w:w="0" w:type="dxa"/>
            </w:tcMar>
            <w:vAlign w:val="center"/>
          </w:tcPr>
          <w:p>
            <w:pPr>
              <w:pStyle w:val="TableContents"/>
              <w:bidi w:val="0"/>
              <w:spacing w:before="0" w:after="283"/>
              <w:jc w:val="left"/>
              <w:rPr/>
            </w:pPr>
            <w:r>
              <w:rPr/>
              <w:t>Termination for Cause</w:t>
            </w:r>
          </w:p>
        </w:tc>
        <w:tc>
          <w:tcPr>
            <w:tcW w:w="60" w:type="dxa"/>
            <w:tcBorders/>
            <w:tcMar>
              <w:bottom w:w="0" w:type="dxa"/>
            </w:tcMar>
            <w:vAlign w:val="center"/>
          </w:tcPr>
          <w:p>
            <w:pPr>
              <w:pStyle w:val="TableContents"/>
              <w:bidi w:val="0"/>
              <w:spacing w:before="0" w:after="283"/>
              <w:jc w:val="left"/>
              <w:rPr/>
            </w:pPr>
            <w:r>
              <w:rPr/>
              <w:t> </w:t>
            </w:r>
          </w:p>
        </w:tc>
        <w:tc>
          <w:tcPr>
            <w:tcW w:w="8721" w:type="dxa"/>
            <w:tcBorders/>
            <w:tcMar>
              <w:bottom w:w="0" w:type="dxa"/>
            </w:tcMar>
            <w:vAlign w:val="center"/>
          </w:tcPr>
          <w:p>
            <w:pPr>
              <w:pStyle w:val="TableContents"/>
              <w:bidi w:val="0"/>
              <w:spacing w:before="0" w:after="283"/>
              <w:jc w:val="both"/>
              <w:rPr/>
            </w:pPr>
            <w:r>
              <w:rPr/>
              <w:t>In the event an employee’s or consultant’s employment or engagement terminates by reason of termination for cause (or resignation where facts giving rise to cause exist), then each Award held by the Participant, whether vested or unvested, will be forfeited as of the termination date.</w:t>
            </w:r>
          </w:p>
        </w:tc>
      </w:tr>
      <w:tr>
        <w:trPr/>
        <w:tc>
          <w:tcPr>
            <w:tcW w:w="142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21" w:type="dxa"/>
            <w:tcBorders/>
            <w:tcMar>
              <w:bottom w:w="0" w:type="dxa"/>
            </w:tcMar>
            <w:vAlign w:val="center"/>
          </w:tcPr>
          <w:p>
            <w:pPr>
              <w:pStyle w:val="TableContents"/>
              <w:bidi w:val="0"/>
              <w:spacing w:before="0" w:after="283"/>
              <w:jc w:val="both"/>
              <w:rPr/>
            </w:pPr>
            <w:r>
              <w:rPr/>
              <w:t> </w:t>
            </w:r>
          </w:p>
        </w:tc>
      </w:tr>
      <w:tr>
        <w:trPr/>
        <w:tc>
          <w:tcPr>
            <w:tcW w:w="1424" w:type="dxa"/>
            <w:tcBorders/>
            <w:tcMar>
              <w:bottom w:w="0" w:type="dxa"/>
            </w:tcMar>
            <w:vAlign w:val="center"/>
          </w:tcPr>
          <w:p>
            <w:pPr>
              <w:pStyle w:val="TableContents"/>
              <w:bidi w:val="0"/>
              <w:spacing w:before="0" w:after="283"/>
              <w:jc w:val="left"/>
              <w:rPr/>
            </w:pPr>
            <w:r>
              <w:rPr/>
              <w:t>Termination of Directorship</w:t>
            </w:r>
          </w:p>
        </w:tc>
        <w:tc>
          <w:tcPr>
            <w:tcW w:w="60" w:type="dxa"/>
            <w:tcBorders/>
            <w:tcMar>
              <w:bottom w:w="0" w:type="dxa"/>
            </w:tcMar>
            <w:vAlign w:val="center"/>
          </w:tcPr>
          <w:p>
            <w:pPr>
              <w:pStyle w:val="TableContents"/>
              <w:bidi w:val="0"/>
              <w:spacing w:before="0" w:after="283"/>
              <w:jc w:val="left"/>
              <w:rPr/>
            </w:pPr>
            <w:r>
              <w:rPr/>
              <w:t> </w:t>
            </w:r>
          </w:p>
        </w:tc>
        <w:tc>
          <w:tcPr>
            <w:tcW w:w="8721" w:type="dxa"/>
            <w:tcBorders/>
            <w:tcMar>
              <w:bottom w:w="0" w:type="dxa"/>
            </w:tcMar>
            <w:vAlign w:val="center"/>
          </w:tcPr>
          <w:p>
            <w:pPr>
              <w:pStyle w:val="TableContents"/>
              <w:bidi w:val="0"/>
              <w:spacing w:before="0" w:after="283"/>
              <w:jc w:val="both"/>
              <w:rPr/>
            </w:pPr>
            <w:r>
              <w:rPr/>
              <w:t>If termination is due to breach of the director’s fiduciary duty, all Awards other than DSUs received in lieu of annual retainer fees are immediately forfeited. If termination is due to any reason other than death or Disability or breach of fiduciary duty, all unvested Awards are immediately forfeited.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Plan Administrator may, in its discretion, permit the acceleration of vesting of any or all Awards or waive termination of any or all Awards, all in the manner and on the terms as may be authorized by the Plan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137</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Change in Control (as defined in the Omnibus Plan), subject to the terms of a Participant’s employment agreement and the applicable Award Agreement, outstanding Awards shall be converted or exchanged into or for rights or other securities of substantially equivalent value as determined by the Plan Administrator in its discretion, in any entity participating in or resulting from the Change in Control. The Plan Administrator may, without the consent of any Participant, instead cause (i) the termination of any vested Award in exchange for an amount of cash and/or property equal in value to the amount that would have been attained upon the exercise or settlement of such Award as of the date of the Change in Control, and/or the replacement of such Award with other rights or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and any surviving or parent entity cease to be publicly traded as a result of the Change in Control, then all outstanding Awards shall vest and become exercisable, realizable or payable immediately prior to the consummation of the Change in Control. If any Awards are subject to performance goals, the Plan Administrator shall determine the extent to which such performance goals are attained.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within 24 months following the completion of a Change in Control, an employee’s employment is terminated by us or an affiliate of ours without cause, then all Awards granted to the employee prior to the Change in Control and still held by the employee will immediately vest and be settled in accordance with their terms. If any Awards are subject to performance goals, the Plan Administrator shall determine the extent to which such performance goals are attained.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Non-Transferability of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a Participant under the Omnibus Plan are generally not capable of being assigned, transferred, alienated, sold, encumbered, pledged, mortgaged or charged. Awards (other than ISOs) may be assigned to a “permitted assign” (as defined under Canadian securities laws) which includes a spouse, registered retirement savings plan, or personal holding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Suspension or Termination of the Omnibus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may amend, suspend or terminate the Omnibus Plan or any Awards granted pursuant thereto as it, in its discretion, determines appropriate, provided, however, that: (a) no such amendment, suspension or termination may materially impair any rights of a Participant or materially increase any obligations of a Participant under the Omnibus Plan without the consent of the Participant, unless the Plan Administrator determines such adjustment is required or desirable in order to comply with any applicable securities laws or TSX requirements; and (b) any amendment that would cause an Award held by a U.S. taxpayer to be subject to the additional tax penalty under the Code will be null and void with respect to the U.S. taxpayer. Amendments to the Omnibus Plan shall be subject to any required approval of the TSX or any other applicable stock exchange.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138</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rules of the TSX or any other applicable stock exchange, approval of the holders of voting shares of the Company will be required for any amendment that:</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increases the percentage of Class B Subordinate Voting Shares reserved for issuance under the Omnibus Plan, except pursuant to the provisions in the Omnibus Plan which permit the Plan Administrator to make equitable adjustments in the event of transactions affecting the Company or its capital;</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w:t>
            </w:r>
          </w:p>
        </w:tc>
        <w:tc>
          <w:tcPr>
            <w:tcW w:w="9994" w:type="dxa"/>
            <w:tcBorders/>
            <w:vAlign w:val="center"/>
          </w:tcPr>
          <w:p>
            <w:pPr>
              <w:pStyle w:val="TableContents"/>
              <w:bidi w:val="0"/>
              <w:spacing w:before="0" w:after="283"/>
              <w:jc w:val="both"/>
              <w:rPr/>
            </w:pPr>
            <w:r>
              <w:rPr/>
              <w:t>increases or removes the 10% limit on Class B Subordinate Voting Shares issuable or issued to Insiders;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w:t>
            </w:r>
          </w:p>
        </w:tc>
        <w:tc>
          <w:tcPr>
            <w:tcW w:w="9996" w:type="dxa"/>
            <w:tcBorders/>
            <w:vAlign w:val="center"/>
          </w:tcPr>
          <w:p>
            <w:pPr>
              <w:pStyle w:val="TableContents"/>
              <w:bidi w:val="0"/>
              <w:spacing w:before="0" w:after="283"/>
              <w:jc w:val="both"/>
              <w:rPr/>
            </w:pPr>
            <w:r>
              <w:rPr/>
              <w:t>increases or removes the limit on Class B Subordinate Voting Shares issuable to non-employee directors;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except pursuant to the provisions in the Omnibus Plan which permit the Plan Administrator to make equitable adjustments in the event of transactions affecting the Company or its capital:</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410"/>
        <w:gridCol w:w="9704"/>
      </w:tblGrid>
      <w:tr>
        <w:trPr/>
        <w:tc>
          <w:tcPr>
            <w:tcW w:w="9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w:t>
            </w:r>
          </w:p>
        </w:tc>
        <w:tc>
          <w:tcPr>
            <w:tcW w:w="9704" w:type="dxa"/>
            <w:tcBorders/>
            <w:vAlign w:val="center"/>
          </w:tcPr>
          <w:p>
            <w:pPr>
              <w:pStyle w:val="TableContents"/>
              <w:bidi w:val="0"/>
              <w:spacing w:before="0" w:after="283"/>
              <w:jc w:val="both"/>
              <w:rPr/>
            </w:pPr>
            <w:r>
              <w:rPr/>
              <w:t>reduces the exercise price of an Award; 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results in the cancellation or termination of an Award of a Participant prior to its expiry date for the purpose of reissuing an Award to the same Participant;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extends the term of an Award beyond the original expiry date (except where an expiry date would have fallen within a blackout period applicable to the Participant or within five business days following the expiry of such a blackout period);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permits Awards to be transferred to a person other than a permitted assign or for normal estate settlement purposes; 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w:t>
            </w:r>
          </w:p>
        </w:tc>
        <w:tc>
          <w:tcPr>
            <w:tcW w:w="9995" w:type="dxa"/>
            <w:tcBorders/>
            <w:vAlign w:val="center"/>
          </w:tcPr>
          <w:p>
            <w:pPr>
              <w:pStyle w:val="TableContents"/>
              <w:bidi w:val="0"/>
              <w:spacing w:before="0" w:after="283"/>
              <w:jc w:val="both"/>
              <w:rPr/>
            </w:pPr>
            <w:r>
              <w:rPr/>
              <w:t>removes or reduces the range of amendments which require approval of the holders of our voting shares.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may, without shareholder approval, at any time or from time to time, amend the Omnibus Plan or any Award for the purposes of:</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04"/>
        <w:gridCol w:w="9834"/>
      </w:tblGrid>
      <w:tr>
        <w:trPr/>
        <w:tc>
          <w:tcPr>
            <w:tcW w:w="6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pPr>
            <w:r>
              <w:rPr/>
              <w:t>●</w:t>
            </w:r>
          </w:p>
        </w:tc>
        <w:tc>
          <w:tcPr>
            <w:tcW w:w="9834" w:type="dxa"/>
            <w:tcBorders/>
            <w:vAlign w:val="center"/>
          </w:tcPr>
          <w:p>
            <w:pPr>
              <w:pStyle w:val="TableContents"/>
              <w:bidi w:val="0"/>
              <w:spacing w:before="0" w:after="283"/>
              <w:jc w:val="both"/>
              <w:rPr/>
            </w:pPr>
            <w:r>
              <w:rPr/>
              <w:t>any amendments to the vesting provisions of each Award;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4"/>
        <w:gridCol w:w="9980"/>
      </w:tblGrid>
      <w:tr>
        <w:trPr/>
        <w:tc>
          <w:tcPr>
            <w:tcW w:w="4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w:t>
            </w:r>
          </w:p>
        </w:tc>
        <w:tc>
          <w:tcPr>
            <w:tcW w:w="9980" w:type="dxa"/>
            <w:tcBorders/>
            <w:vAlign w:val="center"/>
          </w:tcPr>
          <w:p>
            <w:pPr>
              <w:pStyle w:val="TableContents"/>
              <w:bidi w:val="0"/>
              <w:spacing w:before="0" w:after="283"/>
              <w:jc w:val="both"/>
              <w:rPr/>
            </w:pPr>
            <w:r>
              <w:rPr/>
              <w:t>any amendment regarding the effect of termination of a Participant’s employment or engagement;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amendments that are necessary or desirable to comply with applicable law or the requirements of any stock exchange or other regulatory body having authority over us, the Omnibus Plan or shareholders;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amendments of a “housekeeping” nature, including to clarify the meaning of an existing provision of the Omnibus Plan or an Award, correct or supplement any provision of the Omnibus Plan that is inconsistent with any other provision of the Omnibus Plan, or to correct any ambiguity, error or omission; 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266"/>
        <w:gridCol w:w="9880"/>
      </w:tblGrid>
      <w:tr>
        <w:trPr/>
        <w:tc>
          <w:tcPr>
            <w:tcW w:w="5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w:t>
            </w:r>
          </w:p>
        </w:tc>
        <w:tc>
          <w:tcPr>
            <w:tcW w:w="9880" w:type="dxa"/>
            <w:tcBorders/>
            <w:vAlign w:val="center"/>
          </w:tcPr>
          <w:p>
            <w:pPr>
              <w:pStyle w:val="TableContents"/>
              <w:bidi w:val="0"/>
              <w:spacing w:before="0" w:after="283"/>
              <w:jc w:val="both"/>
              <w:rPr/>
            </w:pPr>
            <w:r>
              <w:rPr/>
              <w:t>any amendment regarding the administration of the Omnibus Plan.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Risk Assessment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and the Governance, Compensation and Nominating Committee consider the implications of the risks associated with our compensation policies and practices as part of their respective responsibilities. In this regard, our Board and the Governance, Compensation and Nominating Committee review our compensation policies and practices with a view to ensuring that they do not encourage an executive officer or an employee to take inappropriate or excessive risks. The following risk mitigating features have been adopted:</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using long-term equity-based compensation that vests based on time and performance criteria, ensuring that the majority of the executive’s compensation is aligned with pay for performance;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3"/>
        <w:gridCol w:w="9871"/>
      </w:tblGrid>
      <w:tr>
        <w:trPr/>
        <w:tc>
          <w:tcPr>
            <w:tcW w:w="6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w:t>
            </w:r>
          </w:p>
        </w:tc>
        <w:tc>
          <w:tcPr>
            <w:tcW w:w="9871" w:type="dxa"/>
            <w:tcBorders/>
            <w:vAlign w:val="center"/>
          </w:tcPr>
          <w:p>
            <w:pPr>
              <w:pStyle w:val="TableContents"/>
              <w:bidi w:val="0"/>
              <w:spacing w:before="0" w:after="283"/>
              <w:jc w:val="both"/>
              <w:rPr/>
            </w:pPr>
            <w:r>
              <w:rPr/>
              <w:t>establishing a cap of 200% on the number of PSUs that can vest;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139</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3"/>
        <w:gridCol w:w="599"/>
        <w:gridCol w:w="9473"/>
      </w:tblGrid>
      <w:tr>
        <w:trPr/>
        <w:tc>
          <w:tcPr>
            <w:tcW w:w="13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pPr>
            <w:r>
              <w:rPr/>
              <w:t>●</w:t>
            </w:r>
          </w:p>
        </w:tc>
        <w:tc>
          <w:tcPr>
            <w:tcW w:w="9473" w:type="dxa"/>
            <w:tcBorders/>
            <w:vAlign w:val="center"/>
          </w:tcPr>
          <w:p>
            <w:pPr>
              <w:pStyle w:val="TableContents"/>
              <w:bidi w:val="0"/>
              <w:spacing w:before="0" w:after="283"/>
              <w:jc w:val="both"/>
              <w:rPr/>
            </w:pPr>
            <w:r>
              <w:rPr/>
              <w:t>adopting a clawback policy;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adopting share ownership guidelines that require certain executives and non-employee directors of ours to maintain a minimum level of investment in the Company;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adopting an insider trading policy that prohibits all directors and key members of management of ours and our subsidiaries from engaging in transactions that hedge, limit or otherwise change such individual’s economic interest in and exposure to the full rewards and risks of ownership in our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Clawback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adopted a compensation recovery policy that is compliant with the SEC rules and applicable stock exchange listing rules, as required by the </w:t>
      </w:r>
      <w:r>
        <w:rPr>
          <w:rFonts w:ascii="Times New Roman;Times;Serif" w:hAnsi="Times New Roman;Times;Serif"/>
          <w:b w:val="false"/>
          <w:i/>
          <w:caps w:val="false"/>
          <w:smallCaps w:val="false"/>
          <w:sz w:val="20"/>
        </w:rPr>
        <w:t>Dodd-Frank Wall Street Reform and Consumer Protection Act of 2010</w:t>
      </w:r>
      <w:r>
        <w:rPr>
          <w:rFonts w:ascii="Times New Roman;Times;Serif" w:hAnsi="Times New Roman;Times;Serif"/>
          <w:b w:val="false"/>
          <w:i w:val="false"/>
          <w:caps w:val="false"/>
          <w:smallCaps w:val="false"/>
          <w:sz w:val="20"/>
        </w:rPr>
        <w:t>, effective upon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Share Ownership Guidelines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adopted share ownership guidelines (the “Guidelines”) that align the interests of our executive officers (for purposes of the Guidelines, “Executives”) with shareholders. Pursuant to the Guidelines, Executives are expected to directly or indirectly own Class B Subordinate Voting Shares, Class A Multiple Voting Shares, RSUs that are only subject to time-based vesting conditions, and deferred share units (collectively, “Eligible Shares”), with a value not less than the applicable dollar amount set out below (the “Executive Share Ownership Requirement”):</w:t>
      </w:r>
    </w:p>
    <w:p>
      <w:pPr>
        <w:pStyle w:val="TextBody"/>
        <w:bidi w:val="0"/>
        <w:spacing w:before="0" w:after="0"/>
        <w:ind w:left="0" w:right="0" w:firstLine="360"/>
        <w:jc w:val="both"/>
        <w:rPr>
          <w:caps w:val="false"/>
          <w:smallCaps w:val="false"/>
        </w:rPr>
      </w:pPr>
      <w:r>
        <w:rPr>
          <w:caps w:val="false"/>
          <w:smallCaps w:val="false"/>
        </w:rPr>
        <w:t> </w:t>
      </w:r>
    </w:p>
    <w:tbl>
      <w:tblPr>
        <w:tblW w:w="3475" w:type="dxa"/>
        <w:jc w:val="left"/>
        <w:tblInd w:w="0" w:type="dxa"/>
        <w:tblLayout w:type="fixed"/>
        <w:tblCellMar>
          <w:top w:w="0" w:type="dxa"/>
          <w:left w:w="0" w:type="dxa"/>
          <w:bottom w:w="28" w:type="dxa"/>
          <w:right w:w="0" w:type="dxa"/>
        </w:tblCellMar>
      </w:tblPr>
      <w:tblGrid>
        <w:gridCol w:w="1670"/>
        <w:gridCol w:w="60"/>
        <w:gridCol w:w="1745"/>
      </w:tblGrid>
      <w:tr>
        <w:trPr/>
        <w:tc>
          <w:tcPr>
            <w:tcW w:w="1670" w:type="dxa"/>
            <w:tcBorders>
              <w:bottom w:val="single" w:sz="12" w:space="0" w:color="000000"/>
            </w:tcBorders>
            <w:vAlign w:val="center"/>
          </w:tcPr>
          <w:p>
            <w:pPr>
              <w:pStyle w:val="TableContents"/>
              <w:bidi w:val="0"/>
              <w:spacing w:before="0" w:after="283"/>
              <w:jc w:val="left"/>
              <w:rPr>
                <w:b/>
              </w:rPr>
            </w:pPr>
            <w:r>
              <w:rPr>
                <w:b/>
              </w:rPr>
              <w:t>Role</w:t>
            </w:r>
          </w:p>
        </w:tc>
        <w:tc>
          <w:tcPr>
            <w:tcW w:w="60" w:type="dxa"/>
            <w:tcBorders/>
            <w:tcMar>
              <w:bottom w:w="0" w:type="dxa"/>
            </w:tcMar>
            <w:vAlign w:val="center"/>
          </w:tcPr>
          <w:p>
            <w:pPr>
              <w:pStyle w:val="TableContents"/>
              <w:bidi w:val="0"/>
              <w:spacing w:before="0" w:after="283"/>
              <w:jc w:val="left"/>
              <w:rPr/>
            </w:pPr>
            <w:r>
              <w:rPr/>
              <w:t> </w:t>
            </w:r>
          </w:p>
        </w:tc>
        <w:tc>
          <w:tcPr>
            <w:tcW w:w="1745" w:type="dxa"/>
            <w:tcBorders>
              <w:bottom w:val="single" w:sz="12" w:space="0" w:color="000000"/>
            </w:tcBorders>
            <w:vAlign w:val="center"/>
          </w:tcPr>
          <w:p>
            <w:pPr>
              <w:pStyle w:val="TableContents"/>
              <w:bidi w:val="0"/>
              <w:spacing w:before="0" w:after="283"/>
              <w:jc w:val="center"/>
              <w:rPr>
                <w:b/>
              </w:rPr>
            </w:pPr>
            <w:r>
              <w:rPr>
                <w:b/>
              </w:rPr>
              <w:t xml:space="preserve">Executive Share </w:t>
              <w:br/>
              <w:t>Ownership</w:t>
              <w:br/>
              <w:t>Requirement</w:t>
            </w:r>
          </w:p>
        </w:tc>
      </w:tr>
      <w:tr>
        <w:trPr/>
        <w:tc>
          <w:tcPr>
            <w:tcW w:w="1670" w:type="dxa"/>
            <w:tcBorders/>
            <w:shd w:fill="CCEEFF" w:val="clear"/>
            <w:tcMar>
              <w:bottom w:w="0" w:type="dxa"/>
            </w:tcMar>
            <w:vAlign w:val="center"/>
          </w:tcPr>
          <w:p>
            <w:pPr>
              <w:pStyle w:val="TableContents"/>
              <w:bidi w:val="0"/>
              <w:spacing w:before="0" w:after="283"/>
              <w:jc w:val="left"/>
              <w:rPr/>
            </w:pPr>
            <w:r>
              <w:rPr/>
              <w:t>CEO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5" w:type="dxa"/>
            <w:tcBorders/>
            <w:shd w:fill="CCEEFF" w:val="clear"/>
            <w:tcMar>
              <w:bottom w:w="0" w:type="dxa"/>
            </w:tcMar>
            <w:vAlign w:val="center"/>
          </w:tcPr>
          <w:p>
            <w:pPr>
              <w:pStyle w:val="TableContents"/>
              <w:bidi w:val="0"/>
              <w:spacing w:before="0" w:after="283"/>
              <w:jc w:val="center"/>
              <w:rPr/>
            </w:pPr>
            <w:r>
              <w:rPr/>
              <w:t>3x Base Salary</w:t>
            </w:r>
          </w:p>
        </w:tc>
      </w:tr>
      <w:tr>
        <w:trPr/>
        <w:tc>
          <w:tcPr>
            <w:tcW w:w="1670" w:type="dxa"/>
            <w:tcBorders/>
            <w:shd w:fill="FFFFFF" w:val="clear"/>
            <w:tcMar>
              <w:bottom w:w="0" w:type="dxa"/>
            </w:tcMar>
            <w:vAlign w:val="center"/>
          </w:tcPr>
          <w:p>
            <w:pPr>
              <w:pStyle w:val="TableContents"/>
              <w:bidi w:val="0"/>
              <w:spacing w:before="0" w:after="283"/>
              <w:jc w:val="left"/>
              <w:rPr/>
            </w:pPr>
            <w:r>
              <w:rPr/>
              <w:t>Other Executives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5" w:type="dxa"/>
            <w:tcBorders/>
            <w:shd w:fill="FFFFFF" w:val="clear"/>
            <w:tcMar>
              <w:bottom w:w="0" w:type="dxa"/>
            </w:tcMar>
            <w:vAlign w:val="center"/>
          </w:tcPr>
          <w:p>
            <w:pPr>
              <w:pStyle w:val="TableContents"/>
              <w:bidi w:val="0"/>
              <w:spacing w:before="0" w:after="283"/>
              <w:jc w:val="center"/>
              <w:rPr/>
            </w:pPr>
            <w:r>
              <w:rPr/>
              <w:t>1x Base Salary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Executive’s ownership of Eligible Shares will be calculated as of December 31 of each year and compared to the applicable Executive Share Ownership Requirement. An individual will be deemed to have met their Executive Share Ownership Requirement where the product of (i) the number of Eligible Shares they own and (ii) the greater of (A) the original grant value or acquisition cost and (B) current market value, as applicable, exceeds the applicable Executive Share Ownership Requirement.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determining compliance with the Executive Share Ownership Requirement, amounts paid in any currency other than U.S. dollars will be converted to the U.S. dollar equivalent using the noon spot rate of exchange on the relevant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Executive Share Ownership Requirement must be met by fifth anniversary of the date the Executive first becomes subject to the Guidelines (the “Start Date”); provided that Executives who were subject to the Guidelines but are promoted to a level with a higher Executive Share Ownership Requirement have until the fifth anniversary of the date of their promotion to meet the new Executive Share Ownership Requirement. The period between the Start Date and the date on which the Executive must meet their Executive Share Ownership Requirement is the “Acquisition Period”. For existing Executives, the Start Date was the Closing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Executives will be expected to make progress each year towards meeting their applicable Executive Share Ownership Requirement. If as of the anniversary of their Start Date the Executive’s aggregate Eligible Share ownership as a percentage of their applicable Executive Share Ownership Requirement is less than the percentage of the Acquisition Period that has elapsed, then the Executive must retain at least 25% of the net after tax benefit realized by the Executive from the exercise of any stock options or settlement of other awards granted to such Executive as Class B Subordinate Voting Shares or Class A Multiple Voting Shares, or if Awards are settled in cash, apply at least 25% of such after tax benefit to purchase Class B Subordinate Voting Shares or Class A Multiple Voting Shares, until there is no longer a deficiency.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Executive Share Ownership Requirement is met, the Executive is expected to maintain at least that level of ownership of Eligible Shares for the duration of their employment with us. If our Chief Executive Officer retires, then they are expected to continue to own sufficient Eligible Shares to meet their Executive Share Ownership Requirement for at least 12 months following their retirement.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140</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Compensation Table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cash compensation, including any benefits in kind granted, accrued or paid to Old Xanadu’s executive officers with respect to the fiscal year ended December 31, 2025 was $677,069 (converted to U.S. dollars using an exchange rate of CA$1:US$0.7296, being the daily rate of exchange published by the Bank of Canada for conversion of Canadian dollars into U.S. dollars on December 31, 2025). Old Xanadu did not provide pensions, retirement or similar benefits to its executive officers. In addition, for the year ended December 31, 2025, Old Xanadu granted options to its executive officers with an aggregate value of $3,428,515 (converted to U.S. dollars using an exchange rate of CA$1:US$0.7296, being the daily rate of exchange published by the Bank of Canada for conversion of Canadian dollars into U.S. dollars on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out information concerning the expected compensation to be earned by, paid to, or awarded to the NEOs in the fiscal year ending December 31, 2026, as applicable.</w:t>
      </w:r>
    </w:p>
    <w:p>
      <w:pPr>
        <w:pStyle w:val="TextBody"/>
        <w:bidi w:val="0"/>
        <w:spacing w:before="0" w:after="0"/>
        <w:ind w:left="0" w:right="0" w:firstLine="360"/>
        <w:jc w:val="both"/>
        <w:rPr>
          <w:caps w:val="false"/>
          <w:smallCaps w:val="false"/>
        </w:rPr>
      </w:pPr>
      <w:r>
        <w:rPr>
          <w:caps w:val="false"/>
          <w:smallCaps w:val="false"/>
        </w:rPr>
        <w:t> </w:t>
      </w:r>
    </w:p>
    <w:tbl>
      <w:tblPr>
        <w:tblW w:w="11444" w:type="dxa"/>
        <w:jc w:val="left"/>
        <w:tblInd w:w="0" w:type="dxa"/>
        <w:tblLayout w:type="fixed"/>
        <w:tblCellMar>
          <w:top w:w="0" w:type="dxa"/>
          <w:left w:w="0" w:type="dxa"/>
          <w:bottom w:w="0" w:type="dxa"/>
          <w:right w:w="0" w:type="dxa"/>
        </w:tblCellMar>
      </w:tblPr>
      <w:tblGrid>
        <w:gridCol w:w="1205"/>
        <w:gridCol w:w="60"/>
        <w:gridCol w:w="64"/>
        <w:gridCol w:w="541"/>
        <w:gridCol w:w="60"/>
        <w:gridCol w:w="60"/>
        <w:gridCol w:w="60"/>
        <w:gridCol w:w="800"/>
        <w:gridCol w:w="60"/>
        <w:gridCol w:w="60"/>
        <w:gridCol w:w="60"/>
        <w:gridCol w:w="980"/>
        <w:gridCol w:w="60"/>
        <w:gridCol w:w="60"/>
        <w:gridCol w:w="155"/>
        <w:gridCol w:w="675"/>
        <w:gridCol w:w="60"/>
        <w:gridCol w:w="60"/>
        <w:gridCol w:w="177"/>
        <w:gridCol w:w="773"/>
        <w:gridCol w:w="117"/>
        <w:gridCol w:w="117"/>
        <w:gridCol w:w="176"/>
        <w:gridCol w:w="774"/>
        <w:gridCol w:w="60"/>
        <w:gridCol w:w="60"/>
        <w:gridCol w:w="152"/>
        <w:gridCol w:w="663"/>
        <w:gridCol w:w="60"/>
        <w:gridCol w:w="60"/>
        <w:gridCol w:w="279"/>
        <w:gridCol w:w="1211"/>
        <w:gridCol w:w="60"/>
        <w:gridCol w:w="60"/>
        <w:gridCol w:w="85"/>
        <w:gridCol w:w="1405"/>
        <w:gridCol w:w="75"/>
      </w:tblGrid>
      <w:tr>
        <w:trPr/>
        <w:tc>
          <w:tcPr>
            <w:tcW w:w="12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Non-Equity </w:t>
              <w:br/>
              <w:t xml:space="preserve">Incentive Plan </w:t>
              <w:b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205" w:type="dxa"/>
            <w:tcBorders>
              <w:bottom w:val="single" w:sz="12" w:space="0" w:color="000000"/>
            </w:tcBorders>
            <w:tcMar>
              <w:bottom w:w="28" w:type="dxa"/>
            </w:tcMar>
            <w:vAlign w:val="center"/>
          </w:tcPr>
          <w:p>
            <w:pPr>
              <w:pStyle w:val="TableContents"/>
              <w:bidi w:val="0"/>
              <w:spacing w:before="0" w:after="283"/>
              <w:jc w:val="left"/>
              <w:rPr>
                <w:b/>
              </w:rPr>
            </w:pPr>
            <w:r>
              <w:rPr>
                <w:b/>
              </w:rPr>
              <w:t>Name and Principal Position</w:t>
            </w:r>
          </w:p>
        </w:tc>
        <w:tc>
          <w:tcPr>
            <w:tcW w:w="6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Fiscal </w:t>
              <w:br/>
              <w:t>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Salary </w:t>
              <w:br/>
              <w:t>($)</w:t>
            </w:r>
            <w:r>
              <w:rPr>
                <w:b/>
                <w:position w:val="8"/>
                <w:sz w:val="19"/>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w:t>
              <w:br/>
              <w:t xml:space="preserve">Based </w:t>
              <w:br/>
              <w:t xml:space="preserve">Awards </w:t>
              <w:br/>
              <w:t>($)</w:t>
            </w:r>
            <w:r>
              <w:rPr>
                <w:b/>
                <w:position w:val="8"/>
                <w:sz w:val="19"/>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Option-</w:t>
              <w:br/>
              <w:t xml:space="preserve">Based </w:t>
              <w:br/>
              <w:t xml:space="preserve">Awards </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Annual </w:t>
              <w:br/>
              <w:t xml:space="preserve">Incentive </w:t>
              <w:br/>
              <w:t xml:space="preserve">Plans </w:t>
              <w:br/>
              <w:t>($)</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Long-</w:t>
              <w:br/>
              <w:t xml:space="preserve">Term </w:t>
              <w:br/>
              <w:t xml:space="preserve">Incentive </w:t>
              <w:br/>
              <w:t xml:space="preserve">Plans </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Pension </w:t>
              <w:br/>
              <w:t xml:space="preserve">Value </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All Other </w:t>
              <w:br/>
              <w:t xml:space="preserve">Compensation </w:t>
              <w:br/>
              <w:t>($)</w:t>
            </w:r>
            <w:r>
              <w:rPr>
                <w:b/>
                <w:position w:val="8"/>
                <w:sz w:val="19"/>
              </w:rPr>
              <w:t>(4)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Total </w:t>
              <w:br/>
              <w:t xml:space="preserve">Compensation </w:t>
              <w:br/>
              <w:t>($)</w:t>
            </w:r>
          </w:p>
        </w:tc>
        <w:tc>
          <w:tcPr>
            <w:tcW w:w="75" w:type="dxa"/>
            <w:tcBorders/>
            <w:vAlign w:val="center"/>
          </w:tcPr>
          <w:p>
            <w:pPr>
              <w:pStyle w:val="TableContents"/>
              <w:bidi w:val="0"/>
              <w:spacing w:before="0" w:after="283"/>
              <w:ind w:left="0" w:right="0" w:hanging="180"/>
              <w:jc w:val="left"/>
              <w:rPr/>
            </w:pPr>
            <w:r>
              <w:rPr/>
              <w:t> </w:t>
            </w:r>
          </w:p>
        </w:tc>
      </w:tr>
      <w:tr>
        <w:trPr/>
        <w:tc>
          <w:tcPr>
            <w:tcW w:w="1205" w:type="dxa"/>
            <w:tcBorders/>
            <w:shd w:fill="CCEEFF" w:val="clear"/>
            <w:vAlign w:val="center"/>
          </w:tcPr>
          <w:p>
            <w:pPr>
              <w:pStyle w:val="TableContents"/>
              <w:bidi w:val="0"/>
              <w:spacing w:before="0" w:after="283"/>
              <w:jc w:val="left"/>
              <w:rPr/>
            </w:pPr>
            <w:r>
              <w:rPr/>
              <w:t>Christian Weedbrook</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center"/>
              <w:rPr/>
            </w:pPr>
            <w:r>
              <w:rPr/>
              <w:t> </w:t>
            </w:r>
          </w:p>
        </w:tc>
        <w:tc>
          <w:tcPr>
            <w:tcW w:w="541" w:type="dxa"/>
            <w:tcBorders/>
            <w:shd w:fill="CCEEFF" w:val="clear"/>
            <w:vAlign w:val="center"/>
          </w:tcPr>
          <w:p>
            <w:pPr>
              <w:pStyle w:val="TableContents"/>
              <w:bidi w:val="0"/>
              <w:spacing w:before="0" w:after="283"/>
              <w:jc w:val="center"/>
              <w:rPr/>
            </w:pPr>
            <w:r>
              <w:rPr/>
              <w:t>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218,070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2,349,312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2,567,382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205" w:type="dxa"/>
            <w:tcBorders/>
            <w:shd w:fill="CCEEFF" w:val="clear"/>
            <w:vAlign w:val="center"/>
          </w:tcPr>
          <w:p>
            <w:pPr>
              <w:pStyle w:val="TableContents"/>
              <w:bidi w:val="0"/>
              <w:spacing w:before="0" w:after="283"/>
              <w:jc w:val="left"/>
              <w:rPr/>
            </w:pPr>
            <w:r>
              <w:rPr/>
              <w:t>Chief Executive Officer</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center"/>
              <w:rPr/>
            </w:pPr>
            <w:r>
              <w:rPr/>
              <w:t> </w:t>
            </w:r>
          </w:p>
        </w:tc>
        <w:tc>
          <w:tcPr>
            <w:tcW w:w="54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205" w:type="dxa"/>
            <w:tcBorders/>
            <w:shd w:fill="FFFFFF" w:val="clear"/>
            <w:vAlign w:val="center"/>
          </w:tcPr>
          <w:p>
            <w:pPr>
              <w:pStyle w:val="TableContents"/>
              <w:bidi w:val="0"/>
              <w:spacing w:before="0" w:after="283"/>
              <w:jc w:val="left"/>
              <w:rPr/>
            </w:pPr>
            <w:r>
              <w:rPr/>
              <w:t>Michael Trzupek</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center"/>
              <w:rPr/>
            </w:pPr>
            <w:r>
              <w:rPr/>
              <w:t> </w:t>
            </w:r>
          </w:p>
        </w:tc>
        <w:tc>
          <w:tcPr>
            <w:tcW w:w="541" w:type="dxa"/>
            <w:tcBorders/>
            <w:shd w:fill="FFFFFF" w:val="clear"/>
            <w:vAlign w:val="center"/>
          </w:tcPr>
          <w:p>
            <w:pPr>
              <w:pStyle w:val="TableContents"/>
              <w:bidi w:val="0"/>
              <w:spacing w:before="0" w:after="283"/>
              <w:jc w:val="center"/>
              <w:rPr/>
            </w:pPr>
            <w:r>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465,000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405" w:type="dxa"/>
            <w:tcBorders/>
            <w:shd w:fill="FFFFFF" w:val="clear"/>
            <w:vAlign w:val="center"/>
          </w:tcPr>
          <w:p>
            <w:pPr>
              <w:pStyle w:val="TableContents"/>
              <w:bidi w:val="0"/>
              <w:spacing w:before="0" w:after="283"/>
              <w:jc w:val="right"/>
              <w:rPr/>
            </w:pPr>
            <w:r>
              <w:rPr/>
              <w:t>2,265,000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205" w:type="dxa"/>
            <w:tcBorders/>
            <w:shd w:fill="FFFFFF" w:val="clear"/>
            <w:vAlign w:val="center"/>
          </w:tcPr>
          <w:p>
            <w:pPr>
              <w:pStyle w:val="TableContents"/>
              <w:bidi w:val="0"/>
              <w:spacing w:before="0" w:after="283"/>
              <w:jc w:val="left"/>
              <w:rPr/>
            </w:pPr>
            <w:r>
              <w:rPr/>
              <w:t>Chief Financial Officer</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center"/>
              <w:rPr/>
            </w:pPr>
            <w:r>
              <w:rPr/>
              <w:t> </w:t>
            </w:r>
          </w:p>
        </w:tc>
        <w:tc>
          <w:tcPr>
            <w:tcW w:w="54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4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205" w:type="dxa"/>
            <w:tcBorders/>
            <w:shd w:fill="CCEEFF" w:val="clear"/>
            <w:vAlign w:val="center"/>
          </w:tcPr>
          <w:p>
            <w:pPr>
              <w:pStyle w:val="TableContents"/>
              <w:bidi w:val="0"/>
              <w:spacing w:before="0" w:after="283"/>
              <w:jc w:val="left"/>
              <w:rPr/>
            </w:pPr>
            <w:r>
              <w:rPr/>
              <w:t>Rafal Janik</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center"/>
              <w:rPr/>
            </w:pPr>
            <w:r>
              <w:rPr/>
              <w:t> </w:t>
            </w:r>
          </w:p>
        </w:tc>
        <w:tc>
          <w:tcPr>
            <w:tcW w:w="541" w:type="dxa"/>
            <w:tcBorders/>
            <w:shd w:fill="CCEEFF" w:val="clear"/>
            <w:vAlign w:val="center"/>
          </w:tcPr>
          <w:p>
            <w:pPr>
              <w:pStyle w:val="TableContents"/>
              <w:bidi w:val="0"/>
              <w:spacing w:before="0" w:after="283"/>
              <w:jc w:val="center"/>
              <w:rPr/>
            </w:pPr>
            <w:r>
              <w:rPr/>
              <w:t>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313,728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1,213,728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205" w:type="dxa"/>
            <w:tcBorders/>
            <w:shd w:fill="CCEEFF" w:val="clear"/>
            <w:vAlign w:val="center"/>
          </w:tcPr>
          <w:p>
            <w:pPr>
              <w:pStyle w:val="TableContents"/>
              <w:bidi w:val="0"/>
              <w:spacing w:before="0" w:after="283"/>
              <w:jc w:val="left"/>
              <w:rPr/>
            </w:pPr>
            <w:r>
              <w:rPr/>
              <w:t>Chief Operating Officer</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center"/>
              <w:rPr/>
            </w:pPr>
            <w:r>
              <w:rPr/>
              <w:t> </w:t>
            </w:r>
          </w:p>
        </w:tc>
        <w:tc>
          <w:tcPr>
            <w:tcW w:w="54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205" w:type="dxa"/>
            <w:tcBorders/>
            <w:shd w:fill="FFFFFF" w:val="clear"/>
            <w:vAlign w:val="center"/>
          </w:tcPr>
          <w:p>
            <w:pPr>
              <w:pStyle w:val="TableContents"/>
              <w:bidi w:val="0"/>
              <w:spacing w:before="0" w:after="283"/>
              <w:jc w:val="left"/>
              <w:rPr/>
            </w:pPr>
            <w:r>
              <w:rPr/>
              <w:t>Rebecca Laramée</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center"/>
              <w:rPr/>
            </w:pPr>
            <w:r>
              <w:rPr/>
              <w:t> </w:t>
            </w:r>
          </w:p>
        </w:tc>
        <w:tc>
          <w:tcPr>
            <w:tcW w:w="541" w:type="dxa"/>
            <w:tcBorders/>
            <w:shd w:fill="FFFFFF" w:val="clear"/>
            <w:vAlign w:val="center"/>
          </w:tcPr>
          <w:p>
            <w:pPr>
              <w:pStyle w:val="TableContents"/>
              <w:bidi w:val="0"/>
              <w:spacing w:before="0" w:after="283"/>
              <w:jc w:val="center"/>
              <w:rPr/>
            </w:pPr>
            <w:r>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207,206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466,944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405" w:type="dxa"/>
            <w:tcBorders/>
            <w:shd w:fill="FFFFFF" w:val="clear"/>
            <w:vAlign w:val="center"/>
          </w:tcPr>
          <w:p>
            <w:pPr>
              <w:pStyle w:val="TableContents"/>
              <w:bidi w:val="0"/>
              <w:spacing w:before="0" w:after="283"/>
              <w:jc w:val="right"/>
              <w:rPr/>
            </w:pPr>
            <w:r>
              <w:rPr/>
              <w:t>674,150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205" w:type="dxa"/>
            <w:tcBorders/>
            <w:shd w:fill="FFFFFF" w:val="clear"/>
            <w:vAlign w:val="center"/>
          </w:tcPr>
          <w:p>
            <w:pPr>
              <w:pStyle w:val="TableContents"/>
              <w:bidi w:val="0"/>
              <w:spacing w:before="0" w:after="283"/>
              <w:jc w:val="left"/>
              <w:rPr/>
            </w:pPr>
            <w:r>
              <w:rPr/>
              <w:t>Chief People Officer</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center"/>
              <w:rPr/>
            </w:pPr>
            <w:r>
              <w:rPr/>
              <w:t> </w:t>
            </w:r>
          </w:p>
        </w:tc>
        <w:tc>
          <w:tcPr>
            <w:tcW w:w="54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4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205" w:type="dxa"/>
            <w:tcBorders/>
            <w:shd w:fill="CCEEFF" w:val="clear"/>
            <w:vAlign w:val="center"/>
          </w:tcPr>
          <w:p>
            <w:pPr>
              <w:pStyle w:val="TableContents"/>
              <w:bidi w:val="0"/>
              <w:spacing w:before="0" w:after="283"/>
              <w:jc w:val="left"/>
              <w:rPr/>
            </w:pPr>
            <w:r>
              <w:rPr/>
              <w:t>Natalie Wilmore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center"/>
              <w:rPr/>
            </w:pPr>
            <w:r>
              <w:rPr/>
              <w:t> </w:t>
            </w:r>
          </w:p>
        </w:tc>
        <w:tc>
          <w:tcPr>
            <w:tcW w:w="541" w:type="dxa"/>
            <w:tcBorders/>
            <w:shd w:fill="CCEEFF" w:val="clear"/>
            <w:vAlign w:val="center"/>
          </w:tcPr>
          <w:p>
            <w:pPr>
              <w:pStyle w:val="TableContents"/>
              <w:bidi w:val="0"/>
              <w:spacing w:before="0" w:after="283"/>
              <w:jc w:val="center"/>
              <w:rPr/>
            </w:pPr>
            <w:r>
              <w:rPr/>
              <w:t>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1,575,000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205" w:type="dxa"/>
            <w:tcBorders/>
            <w:shd w:fill="CCEEFF" w:val="clear"/>
            <w:vAlign w:val="center"/>
          </w:tcPr>
          <w:p>
            <w:pPr>
              <w:pStyle w:val="TableContents"/>
              <w:bidi w:val="0"/>
              <w:spacing w:before="0" w:after="283"/>
              <w:jc w:val="left"/>
              <w:rPr/>
            </w:pPr>
            <w:r>
              <w:rPr/>
              <w:t>Chief Legal Officer</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center"/>
              <w:rPr/>
            </w:pPr>
            <w:r>
              <w:rPr/>
              <w:t> </w:t>
            </w:r>
          </w:p>
        </w:tc>
        <w:tc>
          <w:tcPr>
            <w:tcW w:w="54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(1)</w:t>
            </w:r>
          </w:p>
        </w:tc>
        <w:tc>
          <w:tcPr>
            <w:tcW w:w="9953" w:type="dxa"/>
            <w:tcBorders/>
            <w:vAlign w:val="center"/>
          </w:tcPr>
          <w:p>
            <w:pPr>
              <w:pStyle w:val="TableContents"/>
              <w:bidi w:val="0"/>
              <w:spacing w:before="0" w:after="283"/>
              <w:jc w:val="both"/>
              <w:rPr/>
            </w:pPr>
            <w:r>
              <w:rPr/>
              <w:t>Amounts reported have been converted to U.S. dollars using an exchange rate of CA$1:US$0.7296, being the daily rate of exchange published by the Bank of Canada for conversion of Canadian dollars into U.S. dollars on December 31, 2025. Rafal Janik’s share-based awards are reported in USD without conversion.</w:t>
            </w:r>
          </w:p>
        </w:tc>
      </w:tr>
    </w:tbl>
    <w:p>
      <w:pPr>
        <w:pStyle w:val="TextBody"/>
        <w:bidi w:val="0"/>
        <w:spacing w:before="0" w:after="0"/>
        <w:ind w:left="360" w:right="0" w:hanging="360"/>
        <w:jc w:val="both"/>
        <w:rPr>
          <w:caps w:val="false"/>
          <w:smallCaps w:val="false"/>
        </w:rPr>
      </w:pPr>
      <w:r>
        <w:rPr>
          <w:caps w:val="false"/>
          <w:smallCaps w:val="false"/>
        </w:rPr>
        <w:t> </w:t>
      </w:r>
    </w:p>
    <w:tbl>
      <w:tblPr>
        <w:tblW w:w="9010" w:type="dxa"/>
        <w:jc w:val="left"/>
        <w:tblInd w:w="0" w:type="dxa"/>
        <w:tblLayout w:type="fixed"/>
        <w:tblCellMar>
          <w:top w:w="0" w:type="dxa"/>
          <w:left w:w="0" w:type="dxa"/>
          <w:bottom w:w="0" w:type="dxa"/>
          <w:right w:w="0" w:type="dxa"/>
        </w:tblCellMar>
      </w:tblPr>
      <w:tblGrid>
        <w:gridCol w:w="305"/>
        <w:gridCol w:w="8705"/>
      </w:tblGrid>
      <w:tr>
        <w:trPr/>
        <w:tc>
          <w:tcPr>
            <w:tcW w:w="305" w:type="dxa"/>
            <w:tcBorders/>
            <w:vAlign w:val="center"/>
          </w:tcPr>
          <w:p>
            <w:pPr>
              <w:pStyle w:val="TableContents"/>
              <w:bidi w:val="0"/>
              <w:spacing w:before="0" w:after="283"/>
              <w:jc w:val="left"/>
              <w:rPr/>
            </w:pPr>
            <w:r>
              <w:rPr/>
              <w:t>(2)</w:t>
            </w:r>
          </w:p>
        </w:tc>
        <w:tc>
          <w:tcPr>
            <w:tcW w:w="8705" w:type="dxa"/>
            <w:tcBorders/>
            <w:vAlign w:val="center"/>
          </w:tcPr>
          <w:p>
            <w:pPr>
              <w:pStyle w:val="TableContents"/>
              <w:bidi w:val="0"/>
              <w:spacing w:before="0" w:after="283"/>
              <w:jc w:val="both"/>
              <w:rPr/>
            </w:pPr>
            <w:r>
              <w:rPr/>
              <w:t>Represents the base salary expected to be paid in the fiscal year ending December 31, 2026.</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(3)</w:t>
            </w:r>
          </w:p>
        </w:tc>
        <w:tc>
          <w:tcPr>
            <w:tcW w:w="9967" w:type="dxa"/>
            <w:tcBorders/>
            <w:vAlign w:val="center"/>
          </w:tcPr>
          <w:p>
            <w:pPr>
              <w:pStyle w:val="TableContents"/>
              <w:bidi w:val="0"/>
              <w:spacing w:before="0" w:after="283"/>
              <w:jc w:val="both"/>
              <w:rPr/>
            </w:pPr>
            <w:r>
              <w:rPr/>
              <w:t>Represents equity grants expected to be made in the form of RSUs and/or PSUs. The allocation of share units between RSUs and PSUs is yet to be determined for awards expected to be made to Christian Weedbrook, Rafal Janik, and Rebecca Laramée. Michael Trzupek is eligible to be granted RSUs with a grant date fair value of $900,000 and PSUs with a grant date fair value of $900,000. Natalie Wilmore is eligible to be granted a retention award of RSUs with a grant date fair value of $300,000, and RSUs with a grant date fair value of $500,000 and PSUs with a grant date fair value of $400,000. The grant date fair values of the share unit awards once made are expected to be the same as the accounting fair values under GAAP ASC 718, but could differ based on final valuations.</w:t>
            </w:r>
          </w:p>
        </w:tc>
      </w:tr>
    </w:tbl>
    <w:p>
      <w:pPr>
        <w:pStyle w:val="TextBody"/>
        <w:bidi w:val="0"/>
        <w:spacing w:before="0" w:after="0"/>
        <w:ind w:left="360" w:right="0" w:hanging="360"/>
        <w:jc w:val="both"/>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305"/>
        <w:gridCol w:w="4280"/>
      </w:tblGrid>
      <w:tr>
        <w:trPr/>
        <w:tc>
          <w:tcPr>
            <w:tcW w:w="305" w:type="dxa"/>
            <w:tcBorders/>
            <w:vAlign w:val="center"/>
          </w:tcPr>
          <w:p>
            <w:pPr>
              <w:pStyle w:val="TableContents"/>
              <w:bidi w:val="0"/>
              <w:spacing w:before="0" w:after="283"/>
              <w:jc w:val="left"/>
              <w:rPr/>
            </w:pPr>
            <w:r>
              <w:rPr/>
              <w:t>(4)</w:t>
            </w:r>
          </w:p>
        </w:tc>
        <w:tc>
          <w:tcPr>
            <w:tcW w:w="4280" w:type="dxa"/>
            <w:tcBorders/>
            <w:vAlign w:val="center"/>
          </w:tcPr>
          <w:p>
            <w:pPr>
              <w:pStyle w:val="TableContents"/>
              <w:bidi w:val="0"/>
              <w:spacing w:before="0" w:after="283"/>
              <w:jc w:val="both"/>
              <w:rPr/>
            </w:pPr>
            <w:r>
              <w:rPr/>
              <w:t>None of the NEOs are entitled to perquisites.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141</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Outstanding Option-Based Awards and Share-Based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out information concerning the option-based awards and share-based awards granted to the NEOs that were outstanding on the Closing Date, as applicable. Prior to the grants of RSUs and/or PSUs made on or shortly following the Closing Date, none of the NEOs held any share-based awards:</w:t>
      </w:r>
    </w:p>
    <w:p>
      <w:pPr>
        <w:pStyle w:val="TextBody"/>
        <w:bidi w:val="0"/>
        <w:spacing w:before="0" w:after="0"/>
        <w:ind w:left="0" w:right="0" w:firstLine="360"/>
        <w:jc w:val="both"/>
        <w:rPr>
          <w:caps w:val="false"/>
          <w:smallCaps w:val="false"/>
        </w:rPr>
      </w:pPr>
      <w:r>
        <w:rPr>
          <w:caps w:val="false"/>
          <w:smallCaps w:val="false"/>
        </w:rPr>
        <w:t> </w:t>
      </w:r>
    </w:p>
    <w:tbl>
      <w:tblPr>
        <w:tblW w:w="12315" w:type="dxa"/>
        <w:jc w:val="left"/>
        <w:tblInd w:w="0" w:type="dxa"/>
        <w:tblLayout w:type="fixed"/>
        <w:tblCellMar>
          <w:top w:w="0" w:type="dxa"/>
          <w:left w:w="0" w:type="dxa"/>
          <w:bottom w:w="0" w:type="dxa"/>
          <w:right w:w="0" w:type="dxa"/>
        </w:tblCellMar>
      </w:tblPr>
      <w:tblGrid>
        <w:gridCol w:w="1145"/>
        <w:gridCol w:w="60"/>
        <w:gridCol w:w="60"/>
        <w:gridCol w:w="1895"/>
        <w:gridCol w:w="60"/>
        <w:gridCol w:w="60"/>
        <w:gridCol w:w="72"/>
        <w:gridCol w:w="1193"/>
        <w:gridCol w:w="60"/>
        <w:gridCol w:w="60"/>
        <w:gridCol w:w="105"/>
        <w:gridCol w:w="770"/>
        <w:gridCol w:w="60"/>
        <w:gridCol w:w="60"/>
        <w:gridCol w:w="60"/>
        <w:gridCol w:w="1895"/>
        <w:gridCol w:w="60"/>
        <w:gridCol w:w="60"/>
        <w:gridCol w:w="65"/>
        <w:gridCol w:w="1200"/>
        <w:gridCol w:w="60"/>
        <w:gridCol w:w="60"/>
        <w:gridCol w:w="109"/>
        <w:gridCol w:w="766"/>
        <w:gridCol w:w="60"/>
        <w:gridCol w:w="60"/>
        <w:gridCol w:w="118"/>
        <w:gridCol w:w="712"/>
        <w:gridCol w:w="60"/>
        <w:gridCol w:w="60"/>
        <w:gridCol w:w="146"/>
        <w:gridCol w:w="1029"/>
        <w:gridCol w:w="75"/>
      </w:tblGrid>
      <w:tr>
        <w:trPr/>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Option-Based Awards </w:t>
            </w:r>
            <w:r>
              <w:rPr>
                <w:b/>
                <w:position w:val="8"/>
                <w:sz w:val="19"/>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Share-Based Awards</w:t>
            </w:r>
          </w:p>
        </w:tc>
        <w:tc>
          <w:tcPr>
            <w:tcW w:w="75" w:type="dxa"/>
            <w:tcBorders/>
            <w:vAlign w:val="center"/>
          </w:tcPr>
          <w:p>
            <w:pPr>
              <w:pStyle w:val="TableContents"/>
              <w:bidi w:val="0"/>
              <w:spacing w:before="0" w:after="283"/>
              <w:jc w:val="left"/>
              <w:rPr/>
            </w:pPr>
            <w:r>
              <w:rPr/>
              <w:t> </w:t>
            </w:r>
          </w:p>
        </w:tc>
      </w:tr>
      <w:tr>
        <w:trPr/>
        <w:tc>
          <w:tcPr>
            <w:tcW w:w="1145" w:type="dxa"/>
            <w:tcBorders>
              <w:bottom w:val="single" w:sz="12" w:space="0" w:color="000000"/>
            </w:tcBorders>
            <w:tcMar>
              <w:bottom w:w="28" w:type="dxa"/>
            </w:tcMar>
            <w:vAlign w:val="center"/>
          </w:tcPr>
          <w:p>
            <w:pPr>
              <w:pStyle w:val="TableContents"/>
              <w:bidi w:val="0"/>
              <w:spacing w:before="0" w:after="283"/>
              <w:jc w:val="left"/>
              <w:rPr>
                <w:b/>
              </w:rPr>
            </w:pPr>
            <w:r>
              <w:rPr>
                <w:b/>
              </w:rPr>
              <w:t>Name and Principal Position</w:t>
            </w:r>
          </w:p>
        </w:tc>
        <w:tc>
          <w:tcPr>
            <w:tcW w:w="60" w:type="dxa"/>
            <w:tcBorders/>
            <w:vAlign w:val="center"/>
          </w:tcPr>
          <w:p>
            <w:pPr>
              <w:pStyle w:val="TableContents"/>
              <w:bidi w:val="0"/>
              <w:spacing w:before="0" w:after="283"/>
              <w:jc w:val="left"/>
              <w:rPr/>
            </w:pPr>
            <w:r>
              <w:rPr/>
              <w:t> </w:t>
            </w:r>
          </w:p>
        </w:tc>
        <w:tc>
          <w:tcPr>
            <w:tcW w:w="1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Grant 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Shares</w:t>
              <w:br/>
              <w:t>Underlying</w:t>
              <w:br/>
              <w:t>Unexercised</w:t>
              <w:br/>
              <w:t>Options</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Option</w:t>
              <w:br/>
              <w:t>Exercise</w:t>
              <w:br/>
              <w:t>Price</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Option</w:t>
              <w:br/>
              <w:t>Expiration</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Value of</w:t>
              <w:br/>
              <w:t>Unexercised</w:t>
              <w:br/>
              <w:t>In-the- Money</w:t>
              <w:br/>
              <w:t>Options</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Shares or</w:t>
              <w:br/>
              <w:t>Units of</w:t>
              <w:br/>
              <w:t>Shares that</w:t>
              <w:br/>
              <w:t xml:space="preserve">have </w:t>
              <w:br/>
              <w:t>not</w:t>
              <w:br/>
              <w:t>Vested</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Market or </w:t>
              <w:br/>
              <w:t>Payout</w:t>
              <w:br/>
              <w:t>Value of</w:t>
              <w:br/>
              <w:t>Share-</w:t>
              <w:br/>
              <w:t>Based</w:t>
              <w:br/>
              <w:t>Awards</w:t>
              <w:br/>
              <w:t>that</w:t>
              <w:br/>
              <w:t xml:space="preserve">have </w:t>
              <w:br/>
              <w:t>not</w:t>
              <w:br/>
              <w:t>Vested</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Market or</w:t>
              <w:br/>
              <w:t>Payout Value of</w:t>
              <w:br/>
              <w:t>Share-</w:t>
              <w:br/>
              <w:t>Based</w:t>
              <w:br/>
              <w:t>Awards Not</w:t>
              <w:br/>
              <w:t>Paid Out or</w:t>
              <w:br/>
              <w:t>Distributed</w:t>
              <w:br/>
              <w:t>($)</w:t>
            </w:r>
          </w:p>
        </w:tc>
        <w:tc>
          <w:tcPr>
            <w:tcW w:w="75" w:type="dxa"/>
            <w:tcBorders/>
            <w:vAlign w:val="center"/>
          </w:tcPr>
          <w:p>
            <w:pPr>
              <w:pStyle w:val="TableContents"/>
              <w:bidi w:val="0"/>
              <w:spacing w:before="0" w:after="283"/>
              <w:ind w:left="0" w:right="0" w:hanging="180"/>
              <w:jc w:val="left"/>
              <w:rPr/>
            </w:pPr>
            <w:r>
              <w:rPr/>
              <w:t> </w:t>
            </w:r>
          </w:p>
        </w:tc>
      </w:tr>
      <w:tr>
        <w:trPr/>
        <w:tc>
          <w:tcPr>
            <w:tcW w:w="1145" w:type="dxa"/>
            <w:tcBorders/>
            <w:shd w:fill="CCEEFF" w:val="clear"/>
            <w:vAlign w:val="center"/>
          </w:tcPr>
          <w:p>
            <w:pPr>
              <w:pStyle w:val="TableContents"/>
              <w:bidi w:val="0"/>
              <w:spacing w:before="0" w:after="283"/>
              <w:jc w:val="left"/>
              <w:rPr/>
            </w:pPr>
            <w:r>
              <w:rPr/>
              <w:t>Christian Weedbrook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89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45" w:type="dxa"/>
            <w:tcBorders/>
            <w:shd w:fill="CCEEFF" w:val="clear"/>
            <w:vAlign w:val="center"/>
          </w:tcPr>
          <w:p>
            <w:pPr>
              <w:pStyle w:val="TableContents"/>
              <w:bidi w:val="0"/>
              <w:spacing w:before="0" w:after="283"/>
              <w:jc w:val="left"/>
              <w:rPr/>
            </w:pPr>
            <w:r>
              <w:rPr/>
              <w:t>Chief Executive 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89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45" w:type="dxa"/>
            <w:tcBorders/>
            <w:shd w:fill="FFFFFF" w:val="clear"/>
            <w:vAlign w:val="center"/>
          </w:tcPr>
          <w:p>
            <w:pPr>
              <w:pStyle w:val="TableContents"/>
              <w:bidi w:val="0"/>
              <w:spacing w:before="0" w:after="283"/>
              <w:jc w:val="left"/>
              <w:rPr/>
            </w:pPr>
            <w:r>
              <w:rPr/>
              <w:t>Michael Trzupek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8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45" w:type="dxa"/>
            <w:tcBorders/>
            <w:shd w:fill="FFFFFF" w:val="clear"/>
            <w:vAlign w:val="center"/>
          </w:tcPr>
          <w:p>
            <w:pPr>
              <w:pStyle w:val="TableContents"/>
              <w:bidi w:val="0"/>
              <w:spacing w:before="0" w:after="283"/>
              <w:jc w:val="left"/>
              <w:rPr/>
            </w:pPr>
            <w:r>
              <w:rPr/>
              <w:t>Chief Financial Officer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895"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45" w:type="dxa"/>
            <w:tcBorders/>
            <w:shd w:fill="CCEEFF" w:val="clear"/>
            <w:vAlign w:val="center"/>
          </w:tcPr>
          <w:p>
            <w:pPr>
              <w:pStyle w:val="TableContents"/>
              <w:bidi w:val="0"/>
              <w:spacing w:before="0" w:after="283"/>
              <w:jc w:val="left"/>
              <w:rPr/>
            </w:pPr>
            <w:r>
              <w:rPr/>
              <w:t>Rafal Janik</w:t>
            </w:r>
            <w:r>
              <w:rPr>
                <w:position w:val="8"/>
                <w:sz w:val="19"/>
              </w:rPr>
              <w:t xml:space="preserve">(1)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89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45" w:type="dxa"/>
            <w:tcBorders/>
            <w:shd w:fill="CCEEFF" w:val="clear"/>
            <w:vAlign w:val="center"/>
          </w:tcPr>
          <w:p>
            <w:pPr>
              <w:pStyle w:val="TableContents"/>
              <w:bidi w:val="0"/>
              <w:spacing w:before="0" w:after="283"/>
              <w:jc w:val="left"/>
              <w:rPr/>
            </w:pPr>
            <w:r>
              <w:rPr/>
              <w:t>Chief Operating 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895" w:type="dxa"/>
            <w:tcBorders/>
            <w:shd w:fill="CCEEFF" w:val="clear"/>
            <w:vAlign w:val="center"/>
          </w:tcPr>
          <w:p>
            <w:pPr>
              <w:pStyle w:val="TableContents"/>
              <w:bidi w:val="0"/>
              <w:spacing w:before="0" w:after="283"/>
              <w:jc w:val="center"/>
              <w:rPr/>
            </w:pPr>
            <w:r>
              <w:rPr/>
              <w:t>August 13, 2019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332,812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center"/>
              <w:rPr/>
            </w:pPr>
            <w:r>
              <w:rPr/>
              <w:t>August 12, 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3,264,886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895" w:type="dxa"/>
            <w:tcBorders/>
            <w:shd w:fill="CCEEFF" w:val="clear"/>
            <w:vAlign w:val="center"/>
          </w:tcPr>
          <w:p>
            <w:pPr>
              <w:pStyle w:val="TableContents"/>
              <w:bidi w:val="0"/>
              <w:spacing w:before="0" w:after="283"/>
              <w:jc w:val="center"/>
              <w:rPr/>
            </w:pPr>
            <w:r>
              <w:rPr/>
              <w:t>April 29, 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565,550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center"/>
              <w:rPr/>
            </w:pPr>
            <w:r>
              <w:rPr/>
              <w:t>April 28, 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5,548,046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895" w:type="dxa"/>
            <w:tcBorders/>
            <w:shd w:fill="CCEEFF" w:val="clear"/>
            <w:vAlign w:val="center"/>
          </w:tcPr>
          <w:p>
            <w:pPr>
              <w:pStyle w:val="TableContents"/>
              <w:bidi w:val="0"/>
              <w:spacing w:before="0" w:after="283"/>
              <w:jc w:val="center"/>
              <w:rPr/>
            </w:pPr>
            <w:r>
              <w:rPr/>
              <w:t>December 30, 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1,055,251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center"/>
              <w:rPr/>
            </w:pPr>
            <w:r>
              <w:rPr/>
              <w:t>December 31, 2031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10,014,332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895" w:type="dxa"/>
            <w:tcBorders/>
            <w:shd w:fill="CCEEFF" w:val="clear"/>
            <w:vAlign w:val="center"/>
          </w:tcPr>
          <w:p>
            <w:pPr>
              <w:pStyle w:val="TableContents"/>
              <w:bidi w:val="0"/>
              <w:spacing w:before="0" w:after="283"/>
              <w:jc w:val="center"/>
              <w:rPr/>
            </w:pPr>
            <w:r>
              <w:rPr/>
              <w:t>January 5,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550,678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1.12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center"/>
              <w:rPr/>
            </w:pPr>
            <w:r>
              <w:rPr/>
              <w:t>January 5, 2033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4,890,021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895" w:type="dxa"/>
            <w:tcBorders/>
            <w:shd w:fill="CCEEFF" w:val="clear"/>
            <w:vAlign w:val="center"/>
          </w:tcPr>
          <w:p>
            <w:pPr>
              <w:pStyle w:val="TableContents"/>
              <w:bidi w:val="0"/>
              <w:spacing w:before="0" w:after="283"/>
              <w:jc w:val="center"/>
              <w:rPr/>
            </w:pPr>
            <w:r>
              <w:rPr/>
              <w:t>December 18,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538,424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center"/>
              <w:rPr/>
            </w:pPr>
            <w:r>
              <w:rPr/>
              <w:t>December 18, 2033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4,732,747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895" w:type="dxa"/>
            <w:tcBorders/>
            <w:shd w:fill="CCEEFF" w:val="clear"/>
            <w:vAlign w:val="center"/>
          </w:tcPr>
          <w:p>
            <w:pPr>
              <w:pStyle w:val="TableContents"/>
              <w:bidi w:val="0"/>
              <w:spacing w:before="0" w:after="283"/>
              <w:jc w:val="center"/>
              <w:rPr/>
            </w:pPr>
            <w:r>
              <w:rPr/>
              <w:t>October 8,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741,891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4.09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center"/>
              <w:rPr/>
            </w:pPr>
            <w:r>
              <w:rPr/>
              <w:t>October 1, 2035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4,384,576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45" w:type="dxa"/>
            <w:tcBorders/>
            <w:shd w:fill="FFFFFF" w:val="clear"/>
            <w:vAlign w:val="center"/>
          </w:tcPr>
          <w:p>
            <w:pPr>
              <w:pStyle w:val="TableContents"/>
              <w:bidi w:val="0"/>
              <w:spacing w:before="0" w:after="283"/>
              <w:jc w:val="left"/>
              <w:rPr/>
            </w:pPr>
            <w:r>
              <w:rPr/>
              <w:t>Rebecca Laramée</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8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45" w:type="dxa"/>
            <w:tcBorders/>
            <w:shd w:fill="FFFFFF" w:val="clear"/>
            <w:vAlign w:val="center"/>
          </w:tcPr>
          <w:p>
            <w:pPr>
              <w:pStyle w:val="TableContents"/>
              <w:bidi w:val="0"/>
              <w:spacing w:before="0" w:after="283"/>
              <w:jc w:val="left"/>
              <w:rPr/>
            </w:pPr>
            <w:r>
              <w:rPr/>
              <w:t>Chief People Officer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895" w:type="dxa"/>
            <w:tcBorders/>
            <w:shd w:fill="FFFFFF" w:val="clear"/>
            <w:vAlign w:val="center"/>
          </w:tcPr>
          <w:p>
            <w:pPr>
              <w:pStyle w:val="TableContents"/>
              <w:bidi w:val="0"/>
              <w:spacing w:before="0" w:after="283"/>
              <w:jc w:val="center"/>
              <w:rPr/>
            </w:pPr>
            <w:r>
              <w:rPr/>
              <w:t>February 19, 2021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98,292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0.15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5" w:type="dxa"/>
            <w:tcBorders/>
            <w:shd w:fill="FFFFFF" w:val="clear"/>
            <w:vAlign w:val="center"/>
          </w:tcPr>
          <w:p>
            <w:pPr>
              <w:pStyle w:val="TableContents"/>
              <w:bidi w:val="0"/>
              <w:spacing w:before="0" w:after="283"/>
              <w:jc w:val="center"/>
              <w:rPr/>
            </w:pPr>
            <w:r>
              <w:rPr/>
              <w:t>February 18, 2031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968,176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895" w:type="dxa"/>
            <w:tcBorders/>
            <w:shd w:fill="FFFFFF" w:val="clear"/>
            <w:vAlign w:val="center"/>
          </w:tcPr>
          <w:p>
            <w:pPr>
              <w:pStyle w:val="TableContents"/>
              <w:bidi w:val="0"/>
              <w:spacing w:before="0" w:after="283"/>
              <w:jc w:val="center"/>
              <w:rPr/>
            </w:pPr>
            <w:r>
              <w:rPr/>
              <w:t>December 30, 2021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49,151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0.51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5" w:type="dxa"/>
            <w:tcBorders/>
            <w:shd w:fill="FFFFFF" w:val="clear"/>
            <w:vAlign w:val="center"/>
          </w:tcPr>
          <w:p>
            <w:pPr>
              <w:pStyle w:val="TableContents"/>
              <w:bidi w:val="0"/>
              <w:spacing w:before="0" w:after="283"/>
              <w:jc w:val="center"/>
              <w:rPr/>
            </w:pPr>
            <w:r>
              <w:rPr/>
              <w:t>December 31, 2031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466,443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895" w:type="dxa"/>
            <w:tcBorders/>
            <w:shd w:fill="FFFFFF" w:val="clear"/>
            <w:vAlign w:val="center"/>
          </w:tcPr>
          <w:p>
            <w:pPr>
              <w:pStyle w:val="TableContents"/>
              <w:bidi w:val="0"/>
              <w:spacing w:before="0" w:after="283"/>
              <w:jc w:val="center"/>
              <w:rPr/>
            </w:pPr>
            <w:r>
              <w:rPr/>
              <w:t>January 5,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540,601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1.12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5" w:type="dxa"/>
            <w:tcBorders/>
            <w:shd w:fill="FFFFFF" w:val="clear"/>
            <w:vAlign w:val="center"/>
          </w:tcPr>
          <w:p>
            <w:pPr>
              <w:pStyle w:val="TableContents"/>
              <w:bidi w:val="0"/>
              <w:spacing w:before="0" w:after="283"/>
              <w:jc w:val="center"/>
              <w:rPr/>
            </w:pPr>
            <w:r>
              <w:rPr/>
              <w:t>January 5, 2033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4,800,537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895" w:type="dxa"/>
            <w:tcBorders/>
            <w:shd w:fill="FFFFFF" w:val="clear"/>
            <w:vAlign w:val="center"/>
          </w:tcPr>
          <w:p>
            <w:pPr>
              <w:pStyle w:val="TableContents"/>
              <w:bidi w:val="0"/>
              <w:spacing w:before="0" w:after="283"/>
              <w:jc w:val="center"/>
              <w:rPr/>
            </w:pPr>
            <w:r>
              <w:rPr/>
              <w:t>December 18,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449,181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1.21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5" w:type="dxa"/>
            <w:tcBorders/>
            <w:shd w:fill="FFFFFF" w:val="clear"/>
            <w:vAlign w:val="center"/>
          </w:tcPr>
          <w:p>
            <w:pPr>
              <w:pStyle w:val="TableContents"/>
              <w:bidi w:val="0"/>
              <w:spacing w:before="0" w:after="283"/>
              <w:jc w:val="center"/>
              <w:rPr/>
            </w:pPr>
            <w:r>
              <w:rPr/>
              <w:t>December 18, 2033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3,948,301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895" w:type="dxa"/>
            <w:tcBorders/>
            <w:shd w:fill="FFFFFF" w:val="clear"/>
            <w:vAlign w:val="center"/>
          </w:tcPr>
          <w:p>
            <w:pPr>
              <w:pStyle w:val="TableContents"/>
              <w:bidi w:val="0"/>
              <w:spacing w:before="0" w:after="283"/>
              <w:jc w:val="center"/>
              <w:rPr/>
            </w:pPr>
            <w:r>
              <w:rPr/>
              <w:t>October 8,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98,292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4.09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5" w:type="dxa"/>
            <w:tcBorders/>
            <w:shd w:fill="FFFFFF" w:val="clear"/>
            <w:vAlign w:val="center"/>
          </w:tcPr>
          <w:p>
            <w:pPr>
              <w:pStyle w:val="TableContents"/>
              <w:bidi w:val="0"/>
              <w:spacing w:before="0" w:after="283"/>
              <w:jc w:val="center"/>
              <w:rPr/>
            </w:pPr>
            <w:r>
              <w:rPr/>
              <w:t>October 1, 2035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580,906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45" w:type="dxa"/>
            <w:tcBorders/>
            <w:shd w:fill="CCEEFF" w:val="clear"/>
            <w:vAlign w:val="center"/>
          </w:tcPr>
          <w:p>
            <w:pPr>
              <w:pStyle w:val="TableContents"/>
              <w:bidi w:val="0"/>
              <w:spacing w:before="0" w:after="283"/>
              <w:jc w:val="left"/>
              <w:rPr/>
            </w:pPr>
            <w:r>
              <w:rPr/>
              <w:t>Natalie Wilmore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89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45" w:type="dxa"/>
            <w:tcBorders/>
            <w:shd w:fill="CCEEFF" w:val="clear"/>
            <w:vAlign w:val="center"/>
          </w:tcPr>
          <w:p>
            <w:pPr>
              <w:pStyle w:val="TableContents"/>
              <w:bidi w:val="0"/>
              <w:spacing w:before="0" w:after="283"/>
              <w:jc w:val="left"/>
              <w:rPr/>
            </w:pPr>
            <w:r>
              <w:rPr/>
              <w:t>Chief Legal 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89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(1)</w:t>
            </w:r>
          </w:p>
        </w:tc>
        <w:tc>
          <w:tcPr>
            <w:tcW w:w="9945" w:type="dxa"/>
            <w:tcBorders/>
            <w:vAlign w:val="center"/>
          </w:tcPr>
          <w:p>
            <w:pPr>
              <w:pStyle w:val="TableContents"/>
              <w:bidi w:val="0"/>
              <w:spacing w:before="0" w:after="283"/>
              <w:jc w:val="both"/>
              <w:rPr/>
            </w:pPr>
            <w:r>
              <w:rPr/>
              <w:t>Amounts reported have been converted to U.S. dollars using an exchange rate of CA$1:US$0.7296, being the daily rate of exchange published by the Bank of Canada for conversion of Canadian dollars into U.S. dollars on December 31, 2025.</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(2)</w:t>
            </w:r>
          </w:p>
        </w:tc>
        <w:tc>
          <w:tcPr>
            <w:tcW w:w="9920" w:type="dxa"/>
            <w:tcBorders/>
            <w:vAlign w:val="center"/>
          </w:tcPr>
          <w:p>
            <w:pPr>
              <w:pStyle w:val="TableContents"/>
              <w:bidi w:val="0"/>
              <w:spacing w:before="0" w:after="283"/>
              <w:jc w:val="both"/>
              <w:rPr/>
            </w:pPr>
            <w:r>
              <w:rPr/>
              <w:t>Amounts have been determined using an Exchange Ratio of 11.2837 and assuming a price per Class B Subordinate Voting Share of $10.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142</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Incentive Plan Awards — Value Vested or Earned During the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out, for each of the NEOs, the value of the option-based awards, share-based awards and non-equity incentive plan compensation that vested in accordance with their terms during the fiscal year ending December 31, 2026, as applicable. On or shortly following the Closing Date, we granted the NEOs RSUs and/or PSUs. The RSUs that vested in the fiscal year ending December 31, 2026 are reported in the following table. None of the PSUs are reported as their vesting depends on the satisfaction of performance criteria other than the passage of time, the achievement of which is uncertain.</w:t>
      </w:r>
    </w:p>
    <w:p>
      <w:pPr>
        <w:pStyle w:val="TextBody"/>
        <w:bidi w:val="0"/>
        <w:spacing w:before="0" w:after="0"/>
        <w:ind w:left="0" w:right="0" w:firstLine="360"/>
        <w:jc w:val="both"/>
        <w:rPr>
          <w:caps w:val="false"/>
          <w:smallCaps w:val="false"/>
        </w:rPr>
      </w:pPr>
      <w:r>
        <w:rPr>
          <w:caps w:val="false"/>
          <w:smallCaps w:val="false"/>
        </w:rPr>
        <w:t> </w:t>
      </w:r>
    </w:p>
    <w:tbl>
      <w:tblPr>
        <w:tblW w:w="8507" w:type="dxa"/>
        <w:jc w:val="left"/>
        <w:tblInd w:w="0" w:type="dxa"/>
        <w:tblLayout w:type="fixed"/>
        <w:tblCellMar>
          <w:top w:w="0" w:type="dxa"/>
          <w:left w:w="0" w:type="dxa"/>
          <w:bottom w:w="28" w:type="dxa"/>
          <w:right w:w="0" w:type="dxa"/>
        </w:tblCellMar>
      </w:tblPr>
      <w:tblGrid>
        <w:gridCol w:w="2945"/>
        <w:gridCol w:w="60"/>
        <w:gridCol w:w="99"/>
        <w:gridCol w:w="1630"/>
        <w:gridCol w:w="60"/>
        <w:gridCol w:w="60"/>
        <w:gridCol w:w="120"/>
        <w:gridCol w:w="1609"/>
        <w:gridCol w:w="60"/>
        <w:gridCol w:w="60"/>
        <w:gridCol w:w="323"/>
        <w:gridCol w:w="1406"/>
        <w:gridCol w:w="75"/>
      </w:tblGrid>
      <w:tr>
        <w:trPr/>
        <w:tc>
          <w:tcPr>
            <w:tcW w:w="2945" w:type="dxa"/>
            <w:tcBorders>
              <w:bottom w:val="single" w:sz="12"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1729" w:type="dxa"/>
            <w:gridSpan w:val="2"/>
            <w:tcBorders>
              <w:bottom w:val="single" w:sz="12" w:space="0" w:color="000000"/>
            </w:tcBorders>
            <w:vAlign w:val="center"/>
          </w:tcPr>
          <w:p>
            <w:pPr>
              <w:pStyle w:val="TableContents"/>
              <w:bidi w:val="0"/>
              <w:spacing w:before="0" w:after="283"/>
              <w:jc w:val="center"/>
              <w:rPr>
                <w:b/>
              </w:rPr>
            </w:pPr>
            <w:r>
              <w:rPr>
                <w:b/>
              </w:rPr>
              <w:t xml:space="preserve">Option- Based </w:t>
              <w:br/>
              <w:t xml:space="preserve">Awards – Value </w:t>
              <w:br/>
              <w:t xml:space="preserve">Vested During </w:t>
              <w:br/>
              <w:t>the Year</w:t>
            </w:r>
            <w:r>
              <w:rPr>
                <w:b/>
                <w:position w:val="8"/>
                <w:sz w:val="19"/>
              </w:rPr>
              <w:t>(2)</w:t>
            </w:r>
            <w:r>
              <w:rPr>
                <w:b/>
              </w:rPr>
              <w:t xml:space="preserve">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29" w:type="dxa"/>
            <w:gridSpan w:val="2"/>
            <w:tcBorders>
              <w:bottom w:val="single" w:sz="12" w:space="0" w:color="000000"/>
            </w:tcBorders>
            <w:vAlign w:val="center"/>
          </w:tcPr>
          <w:p>
            <w:pPr>
              <w:pStyle w:val="TableContents"/>
              <w:bidi w:val="0"/>
              <w:spacing w:before="0" w:after="283"/>
              <w:jc w:val="center"/>
              <w:rPr>
                <w:b/>
              </w:rPr>
            </w:pPr>
            <w:r>
              <w:rPr>
                <w:b/>
              </w:rPr>
              <w:t>Share-Based</w:t>
              <w:br/>
              <w:t xml:space="preserve">Awards – Value </w:t>
              <w:br/>
              <w:t>Vested During</w:t>
              <w:br/>
              <w:t>the Year</w:t>
            </w:r>
            <w:r>
              <w:rPr>
                <w:b/>
                <w:position w:val="8"/>
                <w:sz w:val="19"/>
              </w:rPr>
              <w:t>(3)</w:t>
            </w:r>
            <w:r>
              <w:rPr>
                <w:b/>
              </w:rPr>
              <w:t xml:space="preserve">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29" w:type="dxa"/>
            <w:gridSpan w:val="2"/>
            <w:tcBorders>
              <w:bottom w:val="single" w:sz="12" w:space="0" w:color="000000"/>
            </w:tcBorders>
            <w:vAlign w:val="center"/>
          </w:tcPr>
          <w:p>
            <w:pPr>
              <w:pStyle w:val="TableContents"/>
              <w:bidi w:val="0"/>
              <w:spacing w:before="0" w:after="283"/>
              <w:jc w:val="center"/>
              <w:rPr>
                <w:b/>
              </w:rPr>
            </w:pPr>
            <w:r>
              <w:rPr>
                <w:b/>
              </w:rPr>
              <w:t xml:space="preserve">Non-Equity </w:t>
              <w:br/>
              <w:t xml:space="preserve">Incentive Plan </w:t>
              <w:br/>
              <w:t xml:space="preserve">Compensation – </w:t>
              <w:br/>
              <w:t xml:space="preserve">Value Earned </w:t>
              <w:br/>
              <w:t xml:space="preserve">During the </w:t>
              <w:br/>
              <w:t xml:space="preserve">Year </w:t>
              <w:br/>
              <w:t>($)</w:t>
            </w:r>
          </w:p>
        </w:tc>
        <w:tc>
          <w:tcPr>
            <w:tcW w:w="75" w:type="dxa"/>
            <w:tcBorders/>
            <w:tcMar>
              <w:bottom w:w="0" w:type="dxa"/>
            </w:tcMar>
            <w:vAlign w:val="center"/>
          </w:tcPr>
          <w:p>
            <w:pPr>
              <w:pStyle w:val="TableContents"/>
              <w:bidi w:val="0"/>
              <w:spacing w:before="0" w:after="283"/>
              <w:jc w:val="left"/>
              <w:rPr/>
            </w:pPr>
            <w:r>
              <w:rPr/>
              <w:t> </w:t>
            </w:r>
          </w:p>
        </w:tc>
      </w:tr>
      <w:tr>
        <w:trPr/>
        <w:tc>
          <w:tcPr>
            <w:tcW w:w="2945" w:type="dxa"/>
            <w:tcBorders/>
            <w:shd w:fill="CCEEFF" w:val="clear"/>
            <w:tcMar>
              <w:bottom w:w="0" w:type="dxa"/>
            </w:tcMar>
            <w:vAlign w:val="center"/>
          </w:tcPr>
          <w:p>
            <w:pPr>
              <w:pStyle w:val="TableContents"/>
              <w:bidi w:val="0"/>
              <w:spacing w:before="0" w:after="283"/>
              <w:jc w:val="left"/>
              <w:rPr/>
            </w:pPr>
            <w:r>
              <w:rPr/>
              <w:t>Christian Weedbrook</w:t>
            </w:r>
            <w:r>
              <w:rPr>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63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60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3"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45" w:type="dxa"/>
            <w:tcBorders/>
            <w:shd w:fill="CCEEFF" w:val="clear"/>
            <w:tcMar>
              <w:bottom w:w="0" w:type="dxa"/>
            </w:tcMar>
            <w:vAlign w:val="center"/>
          </w:tcPr>
          <w:p>
            <w:pPr>
              <w:pStyle w:val="TableContents"/>
              <w:bidi w:val="0"/>
              <w:spacing w:before="0" w:after="283"/>
              <w:jc w:val="left"/>
              <w:rPr/>
            </w:pPr>
            <w:r>
              <w:rPr/>
              <w:t>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63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6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3"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45" w:type="dxa"/>
            <w:tcBorders/>
            <w:shd w:fill="FFFFFF" w:val="clear"/>
            <w:tcMar>
              <w:bottom w:w="0" w:type="dxa"/>
            </w:tcMar>
            <w:vAlign w:val="center"/>
          </w:tcPr>
          <w:p>
            <w:pPr>
              <w:pStyle w:val="TableContents"/>
              <w:bidi w:val="0"/>
              <w:spacing w:before="0" w:after="283"/>
              <w:jc w:val="left"/>
              <w:rPr/>
            </w:pPr>
            <w:r>
              <w:rPr/>
              <w:t>Michael Trzupek</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163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16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3" w:type="dxa"/>
            <w:tcBorders/>
            <w:shd w:fill="FFFFFF" w:val="clear"/>
            <w:tcMar>
              <w:bottom w:w="0" w:type="dxa"/>
            </w:tcMar>
            <w:vAlign w:val="center"/>
          </w:tcPr>
          <w:p>
            <w:pPr>
              <w:pStyle w:val="TableContents"/>
              <w:bidi w:val="0"/>
              <w:spacing w:before="0" w:after="283"/>
              <w:jc w:val="left"/>
              <w:rPr/>
            </w:pPr>
            <w:r>
              <w:rPr/>
              <w:t> </w:t>
            </w:r>
          </w:p>
        </w:tc>
        <w:tc>
          <w:tcPr>
            <w:tcW w:w="1406"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45" w:type="dxa"/>
            <w:tcBorders/>
            <w:shd w:fill="FFFFFF" w:val="clear"/>
            <w:tcMar>
              <w:bottom w:w="0" w:type="dxa"/>
            </w:tcMar>
            <w:vAlign w:val="center"/>
          </w:tcPr>
          <w:p>
            <w:pPr>
              <w:pStyle w:val="TableContents"/>
              <w:bidi w:val="0"/>
              <w:spacing w:before="0" w:after="283"/>
              <w:jc w:val="left"/>
              <w:rPr/>
            </w:pPr>
            <w:r>
              <w:rPr/>
              <w:t>Chief Financial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163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160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3" w:type="dxa"/>
            <w:tcBorders/>
            <w:shd w:fill="FFFFFF" w:val="clear"/>
            <w:tcMar>
              <w:bottom w:w="0" w:type="dxa"/>
            </w:tcMar>
            <w:vAlign w:val="center"/>
          </w:tcPr>
          <w:p>
            <w:pPr>
              <w:pStyle w:val="TableContents"/>
              <w:bidi w:val="0"/>
              <w:spacing w:before="0" w:after="283"/>
              <w:jc w:val="left"/>
              <w:rPr/>
            </w:pPr>
            <w:r>
              <w:rPr/>
              <w:t> </w:t>
            </w:r>
          </w:p>
        </w:tc>
        <w:tc>
          <w:tcPr>
            <w:tcW w:w="1406"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45" w:type="dxa"/>
            <w:tcBorders/>
            <w:shd w:fill="CCEEFF" w:val="clear"/>
            <w:tcMar>
              <w:bottom w:w="0" w:type="dxa"/>
            </w:tcMar>
            <w:vAlign w:val="center"/>
          </w:tcPr>
          <w:p>
            <w:pPr>
              <w:pStyle w:val="TableContents"/>
              <w:bidi w:val="0"/>
              <w:spacing w:before="0" w:after="283"/>
              <w:jc w:val="left"/>
              <w:rPr/>
            </w:pPr>
            <w:r>
              <w:rPr/>
              <w:t>Rafal Janik</w:t>
            </w:r>
            <w:r>
              <w:rPr>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63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60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3"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45" w:type="dxa"/>
            <w:tcBorders/>
            <w:shd w:fill="CCEEFF" w:val="clear"/>
            <w:tcMar>
              <w:bottom w:w="0" w:type="dxa"/>
            </w:tcMar>
            <w:vAlign w:val="center"/>
          </w:tcPr>
          <w:p>
            <w:pPr>
              <w:pStyle w:val="TableContents"/>
              <w:bidi w:val="0"/>
              <w:spacing w:before="0" w:after="283"/>
              <w:jc w:val="left"/>
              <w:rPr/>
            </w:pPr>
            <w:r>
              <w:rPr/>
              <w:t>Chief Operating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630" w:type="dxa"/>
            <w:tcBorders/>
            <w:shd w:fill="CCEEFF" w:val="clear"/>
            <w:tcMar>
              <w:bottom w:w="0" w:type="dxa"/>
            </w:tcMar>
            <w:vAlign w:val="center"/>
          </w:tcPr>
          <w:p>
            <w:pPr>
              <w:pStyle w:val="TableContents"/>
              <w:bidi w:val="0"/>
              <w:spacing w:before="0" w:after="283"/>
              <w:jc w:val="right"/>
              <w:rPr/>
            </w:pPr>
            <w:r>
              <w:rPr/>
              <w:t>3,684,323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6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3"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45" w:type="dxa"/>
            <w:tcBorders/>
            <w:shd w:fill="FFFFFF" w:val="clear"/>
            <w:tcMar>
              <w:bottom w:w="0" w:type="dxa"/>
            </w:tcMar>
            <w:vAlign w:val="center"/>
          </w:tcPr>
          <w:p>
            <w:pPr>
              <w:pStyle w:val="TableContents"/>
              <w:bidi w:val="0"/>
              <w:spacing w:before="0" w:after="283"/>
              <w:jc w:val="left"/>
              <w:rPr/>
            </w:pPr>
            <w:r>
              <w:rPr/>
              <w:t>Rebecca Laramée</w:t>
            </w:r>
            <w:r>
              <w:rPr>
                <w:position w:val="8"/>
                <w:sz w:val="19"/>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163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16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3" w:type="dxa"/>
            <w:tcBorders/>
            <w:shd w:fill="FFFFFF" w:val="clear"/>
            <w:tcMar>
              <w:bottom w:w="0" w:type="dxa"/>
            </w:tcMar>
            <w:vAlign w:val="center"/>
          </w:tcPr>
          <w:p>
            <w:pPr>
              <w:pStyle w:val="TableContents"/>
              <w:bidi w:val="0"/>
              <w:spacing w:before="0" w:after="283"/>
              <w:jc w:val="left"/>
              <w:rPr/>
            </w:pPr>
            <w:r>
              <w:rPr/>
              <w:t> </w:t>
            </w:r>
          </w:p>
        </w:tc>
        <w:tc>
          <w:tcPr>
            <w:tcW w:w="1406"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45" w:type="dxa"/>
            <w:tcBorders/>
            <w:shd w:fill="FFFFFF" w:val="clear"/>
            <w:tcMar>
              <w:bottom w:w="0" w:type="dxa"/>
            </w:tcMar>
            <w:vAlign w:val="center"/>
          </w:tcPr>
          <w:p>
            <w:pPr>
              <w:pStyle w:val="TableContents"/>
              <w:bidi w:val="0"/>
              <w:spacing w:before="0" w:after="283"/>
              <w:jc w:val="left"/>
              <w:rPr/>
            </w:pPr>
            <w:r>
              <w:rPr/>
              <w:t>Chief People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1630" w:type="dxa"/>
            <w:tcBorders/>
            <w:shd w:fill="FFFFFF" w:val="clear"/>
            <w:tcMar>
              <w:bottom w:w="0" w:type="dxa"/>
            </w:tcMar>
            <w:vAlign w:val="center"/>
          </w:tcPr>
          <w:p>
            <w:pPr>
              <w:pStyle w:val="TableContents"/>
              <w:bidi w:val="0"/>
              <w:spacing w:before="0" w:after="283"/>
              <w:jc w:val="right"/>
              <w:rPr/>
            </w:pPr>
            <w:r>
              <w:rPr/>
              <w:t>2,356,589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160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3" w:type="dxa"/>
            <w:tcBorders/>
            <w:shd w:fill="FFFFFF" w:val="clear"/>
            <w:tcMar>
              <w:bottom w:w="0" w:type="dxa"/>
            </w:tcMar>
            <w:vAlign w:val="center"/>
          </w:tcPr>
          <w:p>
            <w:pPr>
              <w:pStyle w:val="TableContents"/>
              <w:bidi w:val="0"/>
              <w:spacing w:before="0" w:after="283"/>
              <w:jc w:val="left"/>
              <w:rPr/>
            </w:pPr>
            <w:r>
              <w:rPr/>
              <w:t> </w:t>
            </w:r>
          </w:p>
        </w:tc>
        <w:tc>
          <w:tcPr>
            <w:tcW w:w="1406"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45" w:type="dxa"/>
            <w:tcBorders/>
            <w:shd w:fill="CCEEFF" w:val="clear"/>
            <w:tcMar>
              <w:bottom w:w="0" w:type="dxa"/>
            </w:tcMar>
            <w:vAlign w:val="center"/>
          </w:tcPr>
          <w:p>
            <w:pPr>
              <w:pStyle w:val="TableContents"/>
              <w:bidi w:val="0"/>
              <w:spacing w:before="0" w:after="283"/>
              <w:jc w:val="left"/>
              <w:rPr/>
            </w:pPr>
            <w:r>
              <w:rPr/>
              <w:t>Natalie Wilmore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63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60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3"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45" w:type="dxa"/>
            <w:tcBorders/>
            <w:shd w:fill="CCEEFF" w:val="clear"/>
            <w:tcMar>
              <w:bottom w:w="0" w:type="dxa"/>
            </w:tcMar>
            <w:vAlign w:val="center"/>
          </w:tcPr>
          <w:p>
            <w:pPr>
              <w:pStyle w:val="TableContents"/>
              <w:bidi w:val="0"/>
              <w:spacing w:before="0" w:after="283"/>
              <w:jc w:val="left"/>
              <w:rPr/>
            </w:pPr>
            <w:r>
              <w:rPr/>
              <w:t>Chief Legal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63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609" w:type="dxa"/>
            <w:tcBorders/>
            <w:shd w:fill="CCEEFF" w:val="clear"/>
            <w:tcMar>
              <w:bottom w:w="0" w:type="dxa"/>
            </w:tcMar>
            <w:vAlign w:val="center"/>
          </w:tcPr>
          <w:p>
            <w:pPr>
              <w:pStyle w:val="TableContents"/>
              <w:bidi w:val="0"/>
              <w:spacing w:before="0" w:after="283"/>
              <w:jc w:val="right"/>
              <w:rPr/>
            </w:pPr>
            <w:r>
              <w:rPr/>
              <w:t>199,980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3"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(1)</w:t>
            </w:r>
          </w:p>
        </w:tc>
        <w:tc>
          <w:tcPr>
            <w:tcW w:w="9945" w:type="dxa"/>
            <w:tcBorders/>
            <w:vAlign w:val="center"/>
          </w:tcPr>
          <w:p>
            <w:pPr>
              <w:pStyle w:val="TableContents"/>
              <w:bidi w:val="0"/>
              <w:spacing w:before="0" w:after="283"/>
              <w:jc w:val="both"/>
              <w:rPr/>
            </w:pPr>
            <w:r>
              <w:rPr/>
              <w:t>Amounts reported have been converted to U.S. dollars using an exchange rate of CA$1:US$0.7296, being the daily rate of exchange published by the Bank of Canada for conversion of Canadian dollars into U.S. dollars on December 31, 2025.</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(2)</w:t>
            </w:r>
          </w:p>
        </w:tc>
        <w:tc>
          <w:tcPr>
            <w:tcW w:w="9928" w:type="dxa"/>
            <w:tcBorders/>
            <w:vAlign w:val="center"/>
          </w:tcPr>
          <w:p>
            <w:pPr>
              <w:pStyle w:val="TableContents"/>
              <w:bidi w:val="0"/>
              <w:spacing w:before="0" w:after="283"/>
              <w:jc w:val="both"/>
              <w:rPr/>
            </w:pPr>
            <w:r>
              <w:rPr/>
              <w:t>Amounts have been determined using an Exchange Ratio of 11.2837 and assuming a price per Class B Subordinate Voting Share of $10 on each vesting date.</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(3)</w:t>
            </w:r>
          </w:p>
        </w:tc>
        <w:tc>
          <w:tcPr>
            <w:tcW w:w="9921" w:type="dxa"/>
            <w:tcBorders/>
            <w:vAlign w:val="center"/>
          </w:tcPr>
          <w:p>
            <w:pPr>
              <w:pStyle w:val="TableContents"/>
              <w:bidi w:val="0"/>
              <w:spacing w:before="0" w:after="283"/>
              <w:jc w:val="both"/>
              <w:rPr/>
            </w:pPr>
            <w:r>
              <w:rPr/>
              <w:t>Amounts have been determined assuming a price per Class B Subordinate Voting Share of $10 as of the grant date and on each vesting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Arrangements, Termination and Change in Control Benefits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NEOs have entered into written employment agreements, which were assumed by the Company in connection with the Closing. The Chief Financial Officer and Chief Legal Officer entered into written employment agreements with Old Xanadu’s U.S.-based subsidiary. New agreements in respect of the remaining NEOs’ post-Closing employment arrangements are still being negotiated.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143</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Trzupek, Chief Financial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Trzupek’s employment agreement provides for his base salary of $465,000. Upon the establishment of an annual incentive program, he will be eligible for an annual bonus, with an annual target bonus opportunity of no less than 50% of his base salary. He is eligible to receive equity awards, including (a) restricted share units with a grant date value of $900,000, one-third of which will vest on the first anniversary of his start date with the remainder vesting in equal quarterly installments over the following two years, and (b) performance share units with a grant date value of $900,000 which will vest based on achievement of pre-determined share price hurdles prior to the fifth anniversary of the grant date. He is entitled to be considered for annual equity grants with values no lower than those described for his initial grants.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Mr. Trzupek’s employment is terminated without cause, he will be entitled to severance equal to his then-current base salary for twelve months, paid in installments. He is also entitled to continued payment of COBRA premiums for up to twelve months following termination. Additionally, he is entitled to a pro-rata bonus for the year in which termination occurs based on achievement of applicable performance goals, and, unless otherwise specified in the applicable award agreement, all equity awards will continue to vest during the twelve-month severance period. The payment of severance benefits is conditioned on Mr. Trzupek executing a general release of claims within sixty days following his separation from service.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Mr. Trzupek resigns from his employment for good reason (including a material reduction in duties, a material reduction in base salary greater than 10%, or relocation of his principal place of employment by 50 or more miles), he will be eligible to receive the same severance benefits as if his employment had been terminated without cause.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Mr. Trzupek’s employment is terminated without cause or he resigns for good reason within six months following a change in control (excluding any de-SPAC, initial public offering, or similar transaction), he will be entitled to receive severance benefits as provided above, accelerated vesting of all restricted share units or other time-based equity awards, and other fringe benefits no less favorable than those provided to other similarly situated senior executives.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Trzupek’s employment agreement also contains customary provisions regarding confidentiality, non-competition (for a period of one year following the termination date), non-solicitation (for a period of one year following the termination date), and assignment of 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Natalie Wilmore, Chief Legal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Wilmore’s employment agreement provides for her base salary of $375,000. She is eligible to receive equity awards, including (a) a restricted share unit award with a grant date value of $300,000 which will vest in equal quarterly installments over three years, (b) restricted share units with a grant date value of $500,000 which will vest in equal quarterly installments over three years, and (c) performance share units with a grant date value of $400,000 which will vest based on achievement of pre-determined share price hurdles prior to the fifth anniversary of the grant date. She is entitled to be considered for annual equity grants with values no lower than those described for her initial restricted share unit and performance share unit grants.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144</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Ms. Wilmore’s employment is terminated without cause, she will be entitled to severance equal to her then-current base salary for six months, paid in installments. She is also entitled to continued payment of COBRA health continuation coverage premiums for up to six months following termination. The payment of severance benefits is conditioned on Ms. Wilmore executing a general release of claims within sixty days following her separation from service.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Ms. Wilmore resigns from her employment for good reason (including a material reduction in duties, a material reduction in base salary greater than 10%, or relocation of her principal place of employment by 50 or more miles), she will be eligible to receive the same severance benefits as if her employment had been terminated without cause.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Wilmore’s employment agreement also contains customary provisions regarding confidentiality, non-competition (for a period of one year following the termination date), non-solicitation (for a period of one year following the termination date), and assignment of intellectual property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shows the incremental payments that would be made to the NEOs under the terms of their employment agreements upon the occurrence of certain events if such events were to occur immediately following the Closing Date: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76"/>
        <w:gridCol w:w="60"/>
        <w:gridCol w:w="3828"/>
        <w:gridCol w:w="60"/>
        <w:gridCol w:w="73"/>
        <w:gridCol w:w="982"/>
        <w:gridCol w:w="60"/>
        <w:gridCol w:w="60"/>
        <w:gridCol w:w="60"/>
        <w:gridCol w:w="980"/>
        <w:gridCol w:w="60"/>
        <w:gridCol w:w="60"/>
        <w:gridCol w:w="81"/>
        <w:gridCol w:w="929"/>
        <w:gridCol w:w="60"/>
        <w:gridCol w:w="60"/>
        <w:gridCol w:w="60"/>
        <w:gridCol w:w="980"/>
        <w:gridCol w:w="76"/>
      </w:tblGrid>
      <w:tr>
        <w:trPr/>
        <w:tc>
          <w:tcPr>
            <w:tcW w:w="1676" w:type="dxa"/>
            <w:tcBorders>
              <w:bottom w:val="single" w:sz="12"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3828" w:type="dxa"/>
            <w:tcBorders>
              <w:bottom w:val="single" w:sz="12" w:space="0" w:color="000000"/>
            </w:tcBorders>
            <w:vAlign w:val="center"/>
          </w:tcPr>
          <w:p>
            <w:pPr>
              <w:pStyle w:val="TableContents"/>
              <w:bidi w:val="0"/>
              <w:spacing w:before="0" w:after="283"/>
              <w:jc w:val="center"/>
              <w:rPr>
                <w:b/>
              </w:rPr>
            </w:pPr>
            <w:r>
              <w:rPr>
                <w:b/>
              </w:rPr>
              <w:t>Event</w:t>
            </w:r>
          </w:p>
        </w:tc>
        <w:tc>
          <w:tcPr>
            <w:tcW w:w="60" w:type="dxa"/>
            <w:tcBorders/>
            <w:tcMar>
              <w:bottom w:w="0" w:type="dxa"/>
            </w:tcMar>
            <w:vAlign w:val="center"/>
          </w:tcPr>
          <w:p>
            <w:pPr>
              <w:pStyle w:val="TableContents"/>
              <w:bidi w:val="0"/>
              <w:spacing w:before="0" w:after="283"/>
              <w:jc w:val="left"/>
              <w:rPr/>
            </w:pPr>
            <w:r>
              <w:rPr/>
              <w:t> </w:t>
            </w:r>
          </w:p>
        </w:tc>
        <w:tc>
          <w:tcPr>
            <w:tcW w:w="1055" w:type="dxa"/>
            <w:gridSpan w:val="2"/>
            <w:tcBorders>
              <w:bottom w:val="single" w:sz="12" w:space="0" w:color="000000"/>
            </w:tcBorders>
            <w:vAlign w:val="center"/>
          </w:tcPr>
          <w:p>
            <w:pPr>
              <w:pStyle w:val="TableContents"/>
              <w:bidi w:val="0"/>
              <w:spacing w:before="0" w:after="283"/>
              <w:jc w:val="center"/>
              <w:rPr>
                <w:b/>
              </w:rPr>
            </w:pPr>
            <w:r>
              <w:rPr>
                <w:b/>
              </w:rPr>
              <w:t>Severance</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Equity</w:t>
            </w:r>
            <w:r>
              <w:rPr>
                <w:b/>
                <w:position w:val="8"/>
                <w:sz w:val="19"/>
              </w:rPr>
              <w:t>(2)</w:t>
              <w:br/>
            </w:r>
            <w:r>
              <w:rPr>
                <w:b/>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10" w:type="dxa"/>
            <w:gridSpan w:val="2"/>
            <w:tcBorders>
              <w:bottom w:val="single" w:sz="12" w:space="0" w:color="000000"/>
            </w:tcBorders>
            <w:vAlign w:val="center"/>
          </w:tcPr>
          <w:p>
            <w:pPr>
              <w:pStyle w:val="TableContents"/>
              <w:bidi w:val="0"/>
              <w:spacing w:before="0" w:after="283"/>
              <w:jc w:val="center"/>
              <w:rPr>
                <w:b/>
              </w:rPr>
            </w:pPr>
            <w:r>
              <w:rPr>
                <w:b/>
              </w:rPr>
              <w:t xml:space="preserve">Other </w:t>
              <w:br/>
              <w:t>Payments</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Total</w:t>
              <w:br/>
              <w:t>($)</w:t>
            </w:r>
          </w:p>
        </w:tc>
        <w:tc>
          <w:tcPr>
            <w:tcW w:w="76" w:type="dxa"/>
            <w:tcBorders/>
            <w:tcMar>
              <w:bottom w:w="0" w:type="dxa"/>
            </w:tcMar>
            <w:vAlign w:val="center"/>
          </w:tcPr>
          <w:p>
            <w:pPr>
              <w:pStyle w:val="TableContents"/>
              <w:bidi w:val="0"/>
              <w:spacing w:before="0" w:after="283"/>
              <w:ind w:left="0" w:right="0" w:hanging="180"/>
              <w:jc w:val="left"/>
              <w:rPr/>
            </w:pPr>
            <w:r>
              <w:rPr/>
              <w:t> </w:t>
            </w:r>
          </w:p>
        </w:tc>
      </w:tr>
      <w:tr>
        <w:trPr/>
        <w:tc>
          <w:tcPr>
            <w:tcW w:w="1676" w:type="dxa"/>
            <w:tcBorders/>
            <w:shd w:fill="CCEEFF" w:val="clear"/>
            <w:tcMar>
              <w:bottom w:w="0" w:type="dxa"/>
            </w:tcMar>
            <w:vAlign w:val="center"/>
          </w:tcPr>
          <w:p>
            <w:pPr>
              <w:pStyle w:val="TableContents"/>
              <w:bidi w:val="0"/>
              <w:spacing w:before="0" w:after="283"/>
              <w:jc w:val="left"/>
              <w:rPr/>
            </w:pPr>
            <w:r>
              <w:rPr/>
              <w:t>Christian Weedbrook</w:t>
            </w:r>
            <w:r>
              <w:rPr>
                <w:position w:val="8"/>
                <w:sz w:val="19"/>
              </w:rPr>
              <w:t xml:space="preserve">(1) </w:t>
            </w:r>
            <w:r>
              <w:rPr>
                <w:position w:val="8"/>
                <w:sz w:val="19"/>
                <w:u w:val="single"/>
              </w:rPr>
              <w:br/>
            </w:r>
            <w:r>
              <w:rPr/>
              <w:t>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8"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98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92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676" w:type="dxa"/>
            <w:tcBorders/>
            <w:shd w:fill="FFFFFF" w:val="clear"/>
            <w:tcMar>
              <w:bottom w:w="0" w:type="dxa"/>
            </w:tcMar>
            <w:vAlign w:val="center"/>
          </w:tcPr>
          <w:p>
            <w:pPr>
              <w:pStyle w:val="TableContents"/>
              <w:bidi w:val="0"/>
              <w:spacing w:before="0" w:after="283"/>
              <w:jc w:val="left"/>
              <w:rPr/>
            </w:pPr>
            <w:r>
              <w:rPr/>
              <w:t xml:space="preserve">Michael Trzupek </w:t>
            </w:r>
            <w:r>
              <w:rPr>
                <w:u w:val="single"/>
              </w:rPr>
              <w:br/>
            </w:r>
            <w:r>
              <w:rPr/>
              <w:t>Chief Financial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8" w:type="dxa"/>
            <w:tcBorders/>
            <w:shd w:fill="FFFFFF" w:val="clear"/>
            <w:tcMar>
              <w:bottom w:w="0" w:type="dxa"/>
            </w:tcMar>
            <w:vAlign w:val="center"/>
          </w:tcPr>
          <w:p>
            <w:pPr>
              <w:pStyle w:val="TableContents"/>
              <w:bidi w:val="0"/>
              <w:spacing w:before="0" w:after="283"/>
              <w:jc w:val="left"/>
              <w:rPr/>
            </w:pPr>
            <w:r>
              <w:rPr/>
              <w:t>Termination without Cause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right"/>
              <w:rPr/>
            </w:pPr>
            <w:r>
              <w:rPr/>
              <w:t>465,000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929" w:type="dxa"/>
            <w:tcBorders/>
            <w:shd w:fill="FFFFFF" w:val="clear"/>
            <w:tcMar>
              <w:bottom w:w="0" w:type="dxa"/>
            </w:tcMar>
            <w:vAlign w:val="center"/>
          </w:tcPr>
          <w:p>
            <w:pPr>
              <w:pStyle w:val="TableContents"/>
              <w:bidi w:val="0"/>
              <w:spacing w:before="0" w:after="283"/>
              <w:jc w:val="right"/>
              <w:rPr/>
            </w:pPr>
            <w:r>
              <w:rPr/>
              <w:t>67,362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832,362</w:t>
            </w:r>
          </w:p>
        </w:tc>
        <w:tc>
          <w:tcPr>
            <w:tcW w:w="76"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67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8" w:type="dxa"/>
            <w:tcBorders/>
            <w:shd w:fill="FFFFFF" w:val="clear"/>
            <w:tcMar>
              <w:bottom w:w="0" w:type="dxa"/>
            </w:tcMar>
            <w:vAlign w:val="center"/>
          </w:tcPr>
          <w:p>
            <w:pPr>
              <w:pStyle w:val="TableContents"/>
              <w:bidi w:val="0"/>
              <w:spacing w:before="0" w:after="283"/>
              <w:jc w:val="left"/>
              <w:rPr/>
            </w:pPr>
            <w:r>
              <w:rPr/>
              <w:t>Resignation for Good Reason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right"/>
              <w:rPr/>
            </w:pPr>
            <w:r>
              <w:rPr/>
              <w:t>465,000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929" w:type="dxa"/>
            <w:tcBorders/>
            <w:shd w:fill="FFFFFF" w:val="clear"/>
            <w:tcMar>
              <w:bottom w:w="0" w:type="dxa"/>
            </w:tcMar>
            <w:vAlign w:val="center"/>
          </w:tcPr>
          <w:p>
            <w:pPr>
              <w:pStyle w:val="TableContents"/>
              <w:bidi w:val="0"/>
              <w:spacing w:before="0" w:after="283"/>
              <w:jc w:val="right"/>
              <w:rPr/>
            </w:pPr>
            <w:r>
              <w:rPr/>
              <w:t>67,362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832,362</w:t>
            </w:r>
          </w:p>
        </w:tc>
        <w:tc>
          <w:tcPr>
            <w:tcW w:w="76"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67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8" w:type="dxa"/>
            <w:tcBorders/>
            <w:shd w:fill="FFFFFF" w:val="clear"/>
            <w:tcMar>
              <w:bottom w:w="0" w:type="dxa"/>
            </w:tcMar>
            <w:vAlign w:val="center"/>
          </w:tcPr>
          <w:p>
            <w:pPr>
              <w:pStyle w:val="TableContents"/>
              <w:bidi w:val="0"/>
              <w:spacing w:before="0" w:after="283"/>
              <w:jc w:val="left"/>
              <w:rPr/>
            </w:pPr>
            <w:r>
              <w:rPr/>
              <w:t>Termination for Cause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92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76"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67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8" w:type="dxa"/>
            <w:tcBorders/>
            <w:shd w:fill="FFFFFF" w:val="clear"/>
            <w:tcMar>
              <w:bottom w:w="0" w:type="dxa"/>
            </w:tcMar>
            <w:vAlign w:val="center"/>
          </w:tcPr>
          <w:p>
            <w:pPr>
              <w:pStyle w:val="TableContents"/>
              <w:bidi w:val="0"/>
              <w:spacing w:before="0" w:after="283"/>
              <w:jc w:val="left"/>
              <w:rPr/>
            </w:pPr>
            <w:r>
              <w:rPr/>
              <w:t>Resignation (without Good Reason)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92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76"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67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8" w:type="dxa"/>
            <w:tcBorders/>
            <w:shd w:fill="FFFFFF" w:val="clear"/>
            <w:tcMar>
              <w:bottom w:w="0" w:type="dxa"/>
            </w:tcMar>
            <w:vAlign w:val="center"/>
          </w:tcPr>
          <w:p>
            <w:pPr>
              <w:pStyle w:val="TableContents"/>
              <w:bidi w:val="0"/>
              <w:spacing w:before="0" w:after="283"/>
              <w:jc w:val="left"/>
              <w:rPr/>
            </w:pPr>
            <w:r>
              <w:rPr/>
              <w:t>Death or Disability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92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76"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67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8" w:type="dxa"/>
            <w:tcBorders/>
            <w:shd w:fill="FFFFFF" w:val="clear"/>
            <w:tcMar>
              <w:bottom w:w="0" w:type="dxa"/>
            </w:tcMar>
            <w:vAlign w:val="center"/>
          </w:tcPr>
          <w:p>
            <w:pPr>
              <w:pStyle w:val="TableContents"/>
              <w:bidi w:val="0"/>
              <w:spacing w:before="0" w:after="283"/>
              <w:jc w:val="left"/>
              <w:rPr/>
            </w:pPr>
            <w:r>
              <w:rPr/>
              <w:t>Discontinuance of Business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92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76"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67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8" w:type="dxa"/>
            <w:tcBorders/>
            <w:shd w:fill="FFFFFF" w:val="clear"/>
            <w:tcMar>
              <w:bottom w:w="0" w:type="dxa"/>
            </w:tcMar>
            <w:vAlign w:val="center"/>
          </w:tcPr>
          <w:p>
            <w:pPr>
              <w:pStyle w:val="TableContents"/>
              <w:bidi w:val="0"/>
              <w:spacing w:before="0" w:after="283"/>
              <w:jc w:val="left"/>
              <w:rPr/>
            </w:pPr>
            <w:r>
              <w:rPr/>
              <w:t>Termination without Cause or Resignation for Good Reason within 6 months following Change of Control</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right"/>
              <w:rPr/>
            </w:pPr>
            <w:r>
              <w:rPr/>
              <w:t>465,000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1,800,000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929" w:type="dxa"/>
            <w:tcBorders/>
            <w:shd w:fill="FFFFFF" w:val="clear"/>
            <w:tcMar>
              <w:bottom w:w="0" w:type="dxa"/>
            </w:tcMar>
            <w:vAlign w:val="center"/>
          </w:tcPr>
          <w:p>
            <w:pPr>
              <w:pStyle w:val="TableContents"/>
              <w:bidi w:val="0"/>
              <w:spacing w:before="0" w:after="283"/>
              <w:jc w:val="right"/>
              <w:rPr/>
            </w:pPr>
            <w:r>
              <w:rPr/>
              <w:t>67,362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2,332,362</w:t>
            </w:r>
          </w:p>
        </w:tc>
        <w:tc>
          <w:tcPr>
            <w:tcW w:w="76"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676" w:type="dxa"/>
            <w:tcBorders/>
            <w:shd w:fill="CCEEFF" w:val="clear"/>
            <w:tcMar>
              <w:bottom w:w="0" w:type="dxa"/>
            </w:tcMar>
            <w:vAlign w:val="center"/>
          </w:tcPr>
          <w:p>
            <w:pPr>
              <w:pStyle w:val="TableContents"/>
              <w:bidi w:val="0"/>
              <w:spacing w:before="0" w:after="283"/>
              <w:jc w:val="left"/>
              <w:rPr/>
            </w:pPr>
            <w:r>
              <w:rPr/>
              <w:t>Rafal Janik</w:t>
            </w:r>
            <w:r>
              <w:rPr>
                <w:position w:val="8"/>
                <w:sz w:val="19"/>
              </w:rPr>
              <w:t xml:space="preserve">(1) </w:t>
            </w:r>
            <w:r>
              <w:rPr/>
              <w:br/>
              <w:t>Chief Operating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8"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98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92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676" w:type="dxa"/>
            <w:tcBorders/>
            <w:shd w:fill="FFFFFF" w:val="clear"/>
            <w:tcMar>
              <w:bottom w:w="0" w:type="dxa"/>
            </w:tcMar>
            <w:vAlign w:val="center"/>
          </w:tcPr>
          <w:p>
            <w:pPr>
              <w:pStyle w:val="TableContents"/>
              <w:bidi w:val="0"/>
              <w:spacing w:before="0" w:after="283"/>
              <w:jc w:val="left"/>
              <w:rPr/>
            </w:pPr>
            <w:r>
              <w:rPr/>
              <w:t>Rebecca Laramée</w:t>
            </w:r>
            <w:r>
              <w:rPr>
                <w:position w:val="8"/>
                <w:sz w:val="19"/>
              </w:rPr>
              <w:t>(1)</w:t>
            </w:r>
            <w:r>
              <w:rPr/>
              <w:br/>
              <w:t>Chief People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8"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92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76"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676" w:type="dxa"/>
            <w:tcBorders/>
            <w:shd w:fill="CCEEFF" w:val="clear"/>
            <w:tcMar>
              <w:bottom w:w="0" w:type="dxa"/>
            </w:tcMar>
            <w:vAlign w:val="center"/>
          </w:tcPr>
          <w:p>
            <w:pPr>
              <w:pStyle w:val="TableContents"/>
              <w:bidi w:val="0"/>
              <w:spacing w:before="0" w:after="283"/>
              <w:jc w:val="left"/>
              <w:rPr/>
            </w:pPr>
            <w:r>
              <w:rPr/>
              <w:t xml:space="preserve">Natalie Wilmore </w:t>
              <w:br/>
              <w:t>Chief Legal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8" w:type="dxa"/>
            <w:tcBorders/>
            <w:shd w:fill="CCEEFF" w:val="clear"/>
            <w:tcMar>
              <w:bottom w:w="0" w:type="dxa"/>
            </w:tcMar>
            <w:vAlign w:val="center"/>
          </w:tcPr>
          <w:p>
            <w:pPr>
              <w:pStyle w:val="TableContents"/>
              <w:bidi w:val="0"/>
              <w:spacing w:before="0" w:after="283"/>
              <w:jc w:val="left"/>
              <w:rPr/>
            </w:pPr>
            <w:r>
              <w:rPr/>
              <w:t>Termination without Cause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982" w:type="dxa"/>
            <w:tcBorders/>
            <w:shd w:fill="CCEEFF" w:val="clear"/>
            <w:tcMar>
              <w:bottom w:w="0" w:type="dxa"/>
            </w:tcMar>
            <w:vAlign w:val="center"/>
          </w:tcPr>
          <w:p>
            <w:pPr>
              <w:pStyle w:val="TableContents"/>
              <w:bidi w:val="0"/>
              <w:spacing w:before="0" w:after="283"/>
              <w:jc w:val="right"/>
              <w:rPr/>
            </w:pPr>
            <w:r>
              <w:rPr/>
              <w:t>187,500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929" w:type="dxa"/>
            <w:tcBorders/>
            <w:shd w:fill="CCEEFF" w:val="clear"/>
            <w:tcMar>
              <w:bottom w:w="0" w:type="dxa"/>
            </w:tcMar>
            <w:vAlign w:val="center"/>
          </w:tcPr>
          <w:p>
            <w:pPr>
              <w:pStyle w:val="TableContents"/>
              <w:bidi w:val="0"/>
              <w:spacing w:before="0" w:after="283"/>
              <w:jc w:val="right"/>
              <w:rPr/>
            </w:pPr>
            <w:r>
              <w:rPr/>
              <w:t>15,547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203,047</w:t>
            </w:r>
          </w:p>
        </w:tc>
        <w:tc>
          <w:tcPr>
            <w:tcW w:w="7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67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8" w:type="dxa"/>
            <w:tcBorders/>
            <w:shd w:fill="CCEEFF" w:val="clear"/>
            <w:tcMar>
              <w:bottom w:w="0" w:type="dxa"/>
            </w:tcMar>
            <w:vAlign w:val="center"/>
          </w:tcPr>
          <w:p>
            <w:pPr>
              <w:pStyle w:val="TableContents"/>
              <w:bidi w:val="0"/>
              <w:spacing w:before="0" w:after="283"/>
              <w:jc w:val="left"/>
              <w:rPr/>
            </w:pPr>
            <w:r>
              <w:rPr/>
              <w:t>Resignation for Good Reason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982" w:type="dxa"/>
            <w:tcBorders/>
            <w:shd w:fill="CCEEFF" w:val="clear"/>
            <w:tcMar>
              <w:bottom w:w="0" w:type="dxa"/>
            </w:tcMar>
            <w:vAlign w:val="center"/>
          </w:tcPr>
          <w:p>
            <w:pPr>
              <w:pStyle w:val="TableContents"/>
              <w:bidi w:val="0"/>
              <w:spacing w:before="0" w:after="283"/>
              <w:jc w:val="right"/>
              <w:rPr/>
            </w:pPr>
            <w:r>
              <w:rPr/>
              <w:t>187,500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929" w:type="dxa"/>
            <w:tcBorders/>
            <w:shd w:fill="CCEEFF" w:val="clear"/>
            <w:tcMar>
              <w:bottom w:w="0" w:type="dxa"/>
            </w:tcMar>
            <w:vAlign w:val="center"/>
          </w:tcPr>
          <w:p>
            <w:pPr>
              <w:pStyle w:val="TableContents"/>
              <w:bidi w:val="0"/>
              <w:spacing w:before="0" w:after="283"/>
              <w:jc w:val="right"/>
              <w:rPr/>
            </w:pPr>
            <w:r>
              <w:rPr/>
              <w:t>15,547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203,047</w:t>
            </w:r>
          </w:p>
        </w:tc>
        <w:tc>
          <w:tcPr>
            <w:tcW w:w="7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67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8" w:type="dxa"/>
            <w:tcBorders/>
            <w:shd w:fill="CCEEFF" w:val="clear"/>
            <w:tcMar>
              <w:bottom w:w="0" w:type="dxa"/>
            </w:tcMar>
            <w:vAlign w:val="center"/>
          </w:tcPr>
          <w:p>
            <w:pPr>
              <w:pStyle w:val="TableContents"/>
              <w:bidi w:val="0"/>
              <w:spacing w:before="0" w:after="283"/>
              <w:jc w:val="left"/>
              <w:rPr/>
            </w:pPr>
            <w:r>
              <w:rPr/>
              <w:t>Termination for Cause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98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92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67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8" w:type="dxa"/>
            <w:tcBorders/>
            <w:shd w:fill="CCEEFF" w:val="clear"/>
            <w:tcMar>
              <w:bottom w:w="0" w:type="dxa"/>
            </w:tcMar>
            <w:vAlign w:val="center"/>
          </w:tcPr>
          <w:p>
            <w:pPr>
              <w:pStyle w:val="TableContents"/>
              <w:bidi w:val="0"/>
              <w:spacing w:before="0" w:after="283"/>
              <w:jc w:val="left"/>
              <w:rPr/>
            </w:pPr>
            <w:r>
              <w:rPr/>
              <w:t>Resignation (without Good Reason)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98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92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67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8" w:type="dxa"/>
            <w:tcBorders/>
            <w:shd w:fill="CCEEFF" w:val="clear"/>
            <w:tcMar>
              <w:bottom w:w="0" w:type="dxa"/>
            </w:tcMar>
            <w:vAlign w:val="center"/>
          </w:tcPr>
          <w:p>
            <w:pPr>
              <w:pStyle w:val="TableContents"/>
              <w:bidi w:val="0"/>
              <w:spacing w:before="0" w:after="283"/>
              <w:jc w:val="left"/>
              <w:rPr/>
            </w:pPr>
            <w:r>
              <w:rPr/>
              <w:t>Death or Disability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98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92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67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8" w:type="dxa"/>
            <w:tcBorders/>
            <w:shd w:fill="CCEEFF" w:val="clear"/>
            <w:tcMar>
              <w:bottom w:w="0" w:type="dxa"/>
            </w:tcMar>
            <w:vAlign w:val="center"/>
          </w:tcPr>
          <w:p>
            <w:pPr>
              <w:pStyle w:val="TableContents"/>
              <w:bidi w:val="0"/>
              <w:spacing w:before="0" w:after="283"/>
              <w:jc w:val="left"/>
              <w:rPr/>
            </w:pPr>
            <w:r>
              <w:rPr/>
              <w:t>Discontinuance of Business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98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92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6"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Notes: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(1)</w:t>
            </w:r>
          </w:p>
        </w:tc>
        <w:tc>
          <w:tcPr>
            <w:tcW w:w="9945" w:type="dxa"/>
            <w:tcBorders/>
            <w:vAlign w:val="center"/>
          </w:tcPr>
          <w:p>
            <w:pPr>
              <w:pStyle w:val="TableContents"/>
              <w:bidi w:val="0"/>
              <w:spacing w:before="0" w:after="283"/>
              <w:jc w:val="both"/>
              <w:rPr/>
            </w:pPr>
            <w:r>
              <w:rPr/>
              <w:t>Amounts reported have been converted to U.S. dollars using an exchange rate of CA$1:US$0.7296, being the daily rate of exchange published by the Bank of Canada for conversion of Canadian dollars into U.S. dollars on December 31, 2025.</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(2)</w:t>
            </w:r>
          </w:p>
        </w:tc>
        <w:tc>
          <w:tcPr>
            <w:tcW w:w="9962" w:type="dxa"/>
            <w:tcBorders/>
            <w:vAlign w:val="center"/>
          </w:tcPr>
          <w:p>
            <w:pPr>
              <w:pStyle w:val="TableContents"/>
              <w:bidi w:val="0"/>
              <w:spacing w:before="0" w:after="283"/>
              <w:jc w:val="both"/>
              <w:rPr/>
            </w:pPr>
            <w:r>
              <w:rPr/>
              <w:t>Amounts reported assume a price per Class B Subordinate Voting Share of $10, and exclude the value of PSUs as their vesting depends on the satisfaction of performance criteria other than the passage of time, the achievement of which is uncertain. However, in the event of his termination without Cause or resignation for Good Reason within six months following a change in control, Michael Trzupek’s outstanding PSUs vest with performance to be determined by our Board. The foregoing assumes achievement at target.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145</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compensation program is designed to attract and retain the most qualified individuals to serve on our Board. Our Board, through the Governance, Compensation and Nominating Committee, is responsible for reviewing and approving any changes to the directors’ compensation arrangements. In consideration for serving on our Board, each director that is not an employee is paid an annual retainer which may, at our Board’s discretion, be paid in cash or in some combination of cash and DSUs and is reimbursed for their reasonable out-of-pocket expenses incurred while serving as directors. We do not pay meeting fees. Mr. Weedbrook does not receive additional compensation for serving as a director on our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benchmark our non-employee director compensation to the 50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percentile of our compensation peer group.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 below outlines our compensation for non-employee directors. Non-employee directors each receive a cash and equity retainer for serving on our Board and a cash retainer for serving on a committee of our Board.</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234"/>
        <w:gridCol w:w="60"/>
        <w:gridCol w:w="2192"/>
        <w:gridCol w:w="60"/>
        <w:gridCol w:w="75"/>
        <w:gridCol w:w="871"/>
        <w:gridCol w:w="60"/>
        <w:gridCol w:w="60"/>
        <w:gridCol w:w="103"/>
        <w:gridCol w:w="1388"/>
        <w:gridCol w:w="60"/>
        <w:gridCol w:w="60"/>
        <w:gridCol w:w="62"/>
        <w:gridCol w:w="839"/>
        <w:gridCol w:w="81"/>
      </w:tblGrid>
      <w:tr>
        <w:trPr/>
        <w:tc>
          <w:tcPr>
            <w:tcW w:w="4234" w:type="dxa"/>
            <w:tcBorders>
              <w:bottom w:val="single" w:sz="12" w:space="0" w:color="000000"/>
            </w:tcBorders>
            <w:vAlign w:val="center"/>
          </w:tcPr>
          <w:p>
            <w:pPr>
              <w:pStyle w:val="TableContents"/>
              <w:bidi w:val="0"/>
              <w:spacing w:before="0" w:after="283"/>
              <w:jc w:val="left"/>
              <w:rPr>
                <w:b/>
              </w:rPr>
            </w:pPr>
            <w:r>
              <w:rPr>
                <w:b/>
              </w:rPr>
              <w:t>Type of Fee</w:t>
            </w:r>
          </w:p>
        </w:tc>
        <w:tc>
          <w:tcPr>
            <w:tcW w:w="60" w:type="dxa"/>
            <w:tcBorders/>
            <w:tcMar>
              <w:bottom w:w="0" w:type="dxa"/>
            </w:tcMar>
            <w:vAlign w:val="center"/>
          </w:tcPr>
          <w:p>
            <w:pPr>
              <w:pStyle w:val="TableContents"/>
              <w:bidi w:val="0"/>
              <w:spacing w:before="0" w:after="283"/>
              <w:jc w:val="left"/>
              <w:rPr/>
            </w:pPr>
            <w:r>
              <w:rPr/>
              <w:t> </w:t>
            </w:r>
          </w:p>
        </w:tc>
        <w:tc>
          <w:tcPr>
            <w:tcW w:w="2192" w:type="dxa"/>
            <w:tcBorders>
              <w:bottom w:val="single" w:sz="12" w:space="0" w:color="000000"/>
            </w:tcBorders>
            <w:vAlign w:val="center"/>
          </w:tcPr>
          <w:p>
            <w:pPr>
              <w:pStyle w:val="TableContents"/>
              <w:bidi w:val="0"/>
              <w:spacing w:before="0" w:after="283"/>
              <w:jc w:val="center"/>
              <w:rPr>
                <w:b/>
              </w:rPr>
            </w:pPr>
            <w:r>
              <w:rPr>
                <w:b/>
              </w:rPr>
              <w:t>Role</w:t>
            </w:r>
          </w:p>
        </w:tc>
        <w:tc>
          <w:tcPr>
            <w:tcW w:w="60" w:type="dxa"/>
            <w:tcBorders/>
            <w:tcMar>
              <w:bottom w:w="0" w:type="dxa"/>
            </w:tcMar>
            <w:vAlign w:val="center"/>
          </w:tcPr>
          <w:p>
            <w:pPr>
              <w:pStyle w:val="TableContents"/>
              <w:bidi w:val="0"/>
              <w:spacing w:before="0" w:after="283"/>
              <w:jc w:val="left"/>
              <w:rPr/>
            </w:pPr>
            <w:r>
              <w:rPr/>
              <w:t> </w:t>
            </w:r>
          </w:p>
        </w:tc>
        <w:tc>
          <w:tcPr>
            <w:tcW w:w="946" w:type="dxa"/>
            <w:gridSpan w:val="2"/>
            <w:tcBorders>
              <w:bottom w:val="single" w:sz="12" w:space="0" w:color="000000"/>
            </w:tcBorders>
            <w:vAlign w:val="center"/>
          </w:tcPr>
          <w:p>
            <w:pPr>
              <w:pStyle w:val="TableContents"/>
              <w:bidi w:val="0"/>
              <w:spacing w:before="0" w:after="283"/>
              <w:jc w:val="center"/>
              <w:rPr>
                <w:b/>
              </w:rPr>
            </w:pPr>
            <w:r>
              <w:rPr>
                <w:b/>
              </w:rPr>
              <w:t xml:space="preserve">Cash </w:t>
              <w:br/>
              <w:t xml:space="preserve">Retainer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1" w:type="dxa"/>
            <w:gridSpan w:val="2"/>
            <w:tcBorders>
              <w:bottom w:val="single" w:sz="12" w:space="0" w:color="000000"/>
            </w:tcBorders>
            <w:vAlign w:val="center"/>
          </w:tcPr>
          <w:p>
            <w:pPr>
              <w:pStyle w:val="TableContents"/>
              <w:bidi w:val="0"/>
              <w:spacing w:before="0" w:after="283"/>
              <w:jc w:val="center"/>
              <w:rPr>
                <w:b/>
              </w:rPr>
            </w:pPr>
            <w:r>
              <w:rPr>
                <w:b/>
              </w:rPr>
              <w:t xml:space="preserve">Equity Retainer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1" w:type="dxa"/>
            <w:gridSpan w:val="2"/>
            <w:tcBorders>
              <w:bottom w:val="single" w:sz="12" w:space="0" w:color="000000"/>
            </w:tcBorders>
            <w:vAlign w:val="center"/>
          </w:tcPr>
          <w:p>
            <w:pPr>
              <w:pStyle w:val="TableContents"/>
              <w:bidi w:val="0"/>
              <w:spacing w:before="0" w:after="283"/>
              <w:jc w:val="center"/>
              <w:rPr>
                <w:b/>
              </w:rPr>
            </w:pPr>
            <w:r>
              <w:rPr>
                <w:b/>
              </w:rPr>
              <w:t>Total</w:t>
              <w:br/>
              <w:t xml:space="preserve">Amount </w:t>
              <w:br/>
              <w:t>($)</w:t>
            </w:r>
          </w:p>
        </w:tc>
        <w:tc>
          <w:tcPr>
            <w:tcW w:w="81" w:type="dxa"/>
            <w:tcBorders/>
            <w:tcMar>
              <w:bottom w:w="0" w:type="dxa"/>
            </w:tcMar>
            <w:vAlign w:val="center"/>
          </w:tcPr>
          <w:p>
            <w:pPr>
              <w:pStyle w:val="TableContents"/>
              <w:bidi w:val="0"/>
              <w:spacing w:before="0" w:after="283"/>
              <w:ind w:left="0" w:right="0" w:hanging="180"/>
              <w:jc w:val="left"/>
              <w:rPr/>
            </w:pPr>
            <w:r>
              <w:rPr/>
              <w:t> </w:t>
            </w:r>
          </w:p>
        </w:tc>
      </w:tr>
      <w:tr>
        <w:trPr/>
        <w:tc>
          <w:tcPr>
            <w:tcW w:w="4234" w:type="dxa"/>
            <w:tcBorders/>
            <w:shd w:fill="CCEEFF" w:val="clear"/>
            <w:tcMar>
              <w:bottom w:w="0" w:type="dxa"/>
            </w:tcMar>
            <w:vAlign w:val="center"/>
          </w:tcPr>
          <w:p>
            <w:pPr>
              <w:pStyle w:val="TableContents"/>
              <w:bidi w:val="0"/>
              <w:spacing w:before="0" w:after="283"/>
              <w:jc w:val="left"/>
              <w:rPr/>
            </w:pPr>
            <w:r>
              <w:rPr/>
              <w:t>Board Retainer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92" w:type="dxa"/>
            <w:tcBorders/>
            <w:shd w:fill="CCEEFF" w:val="clear"/>
            <w:tcMar>
              <w:bottom w:w="0" w:type="dxa"/>
            </w:tcMar>
            <w:vAlign w:val="center"/>
          </w:tcPr>
          <w:p>
            <w:pPr>
              <w:pStyle w:val="TableContents"/>
              <w:bidi w:val="0"/>
              <w:spacing w:before="0" w:after="283"/>
              <w:jc w:val="center"/>
              <w:rPr/>
            </w:pPr>
            <w:r>
              <w:rPr/>
              <w:t>Lead Independent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871" w:type="dxa"/>
            <w:tcBorders/>
            <w:shd w:fill="CCEEFF" w:val="clear"/>
            <w:tcMar>
              <w:bottom w:w="0" w:type="dxa"/>
            </w:tcMar>
            <w:vAlign w:val="center"/>
          </w:tcPr>
          <w:p>
            <w:pPr>
              <w:pStyle w:val="TableContents"/>
              <w:bidi w:val="0"/>
              <w:spacing w:before="0" w:after="283"/>
              <w:jc w:val="right"/>
              <w:rPr/>
            </w:pPr>
            <w:r>
              <w:rPr/>
              <w:t>58,000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88" w:type="dxa"/>
            <w:tcBorders/>
            <w:shd w:fill="CCEEFF" w:val="clear"/>
            <w:tcMar>
              <w:bottom w:w="0" w:type="dxa"/>
            </w:tcMar>
            <w:vAlign w:val="center"/>
          </w:tcPr>
          <w:p>
            <w:pPr>
              <w:pStyle w:val="TableContents"/>
              <w:bidi w:val="0"/>
              <w:spacing w:before="0" w:after="283"/>
              <w:jc w:val="right"/>
              <w:rPr/>
            </w:pPr>
            <w:r>
              <w:rPr/>
              <w:t>140,000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839" w:type="dxa"/>
            <w:tcBorders/>
            <w:shd w:fill="CCEEFF" w:val="clear"/>
            <w:tcMar>
              <w:bottom w:w="0" w:type="dxa"/>
            </w:tcMar>
            <w:vAlign w:val="center"/>
          </w:tcPr>
          <w:p>
            <w:pPr>
              <w:pStyle w:val="TableContents"/>
              <w:bidi w:val="0"/>
              <w:spacing w:before="0" w:after="283"/>
              <w:jc w:val="right"/>
              <w:rPr/>
            </w:pPr>
            <w:r>
              <w:rPr/>
              <w:t>198,000</w:t>
            </w:r>
          </w:p>
        </w:tc>
        <w:tc>
          <w:tcPr>
            <w:tcW w:w="81"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23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92" w:type="dxa"/>
            <w:tcBorders/>
            <w:shd w:fill="CCEEFF" w:val="clear"/>
            <w:tcMar>
              <w:bottom w:w="0" w:type="dxa"/>
            </w:tcMar>
            <w:vAlign w:val="center"/>
          </w:tcPr>
          <w:p>
            <w:pPr>
              <w:pStyle w:val="TableContents"/>
              <w:bidi w:val="0"/>
              <w:spacing w:before="0" w:after="283"/>
              <w:jc w:val="center"/>
              <w:rPr/>
            </w:pPr>
            <w:r>
              <w:rPr/>
              <w:t>Board Member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871" w:type="dxa"/>
            <w:tcBorders/>
            <w:shd w:fill="CCEEFF" w:val="clear"/>
            <w:tcMar>
              <w:bottom w:w="0" w:type="dxa"/>
            </w:tcMar>
            <w:vAlign w:val="center"/>
          </w:tcPr>
          <w:p>
            <w:pPr>
              <w:pStyle w:val="TableContents"/>
              <w:bidi w:val="0"/>
              <w:spacing w:before="0" w:after="283"/>
              <w:jc w:val="right"/>
              <w:rPr/>
            </w:pPr>
            <w:r>
              <w:rPr/>
              <w:t>35,500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88" w:type="dxa"/>
            <w:tcBorders/>
            <w:shd w:fill="CCEEFF" w:val="clear"/>
            <w:tcMar>
              <w:bottom w:w="0" w:type="dxa"/>
            </w:tcMar>
            <w:vAlign w:val="center"/>
          </w:tcPr>
          <w:p>
            <w:pPr>
              <w:pStyle w:val="TableContents"/>
              <w:bidi w:val="0"/>
              <w:spacing w:before="0" w:after="283"/>
              <w:jc w:val="right"/>
              <w:rPr/>
            </w:pPr>
            <w:r>
              <w:rPr/>
              <w:t>140,000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839" w:type="dxa"/>
            <w:tcBorders/>
            <w:shd w:fill="CCEEFF" w:val="clear"/>
            <w:tcMar>
              <w:bottom w:w="0" w:type="dxa"/>
            </w:tcMar>
            <w:vAlign w:val="center"/>
          </w:tcPr>
          <w:p>
            <w:pPr>
              <w:pStyle w:val="TableContents"/>
              <w:bidi w:val="0"/>
              <w:spacing w:before="0" w:after="283"/>
              <w:jc w:val="right"/>
              <w:rPr/>
            </w:pPr>
            <w:r>
              <w:rPr/>
              <w:t>175,500</w:t>
            </w:r>
          </w:p>
        </w:tc>
        <w:tc>
          <w:tcPr>
            <w:tcW w:w="81"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234" w:type="dxa"/>
            <w:tcBorders/>
            <w:shd w:fill="FFFFFF" w:val="clear"/>
            <w:tcMar>
              <w:bottom w:w="0" w:type="dxa"/>
            </w:tcMar>
            <w:vAlign w:val="center"/>
          </w:tcPr>
          <w:p>
            <w:pPr>
              <w:pStyle w:val="TableContents"/>
              <w:bidi w:val="0"/>
              <w:spacing w:before="0" w:after="283"/>
              <w:jc w:val="left"/>
              <w:rPr/>
            </w:pPr>
            <w:r>
              <w:rPr/>
              <w:t>Committee Retainer Audit Committee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92" w:type="dxa"/>
            <w:tcBorders/>
            <w:shd w:fill="FFFFFF" w:val="clear"/>
            <w:tcMar>
              <w:bottom w:w="0" w:type="dxa"/>
            </w:tcMar>
            <w:vAlign w:val="center"/>
          </w:tcPr>
          <w:p>
            <w:pPr>
              <w:pStyle w:val="TableContents"/>
              <w:bidi w:val="0"/>
              <w:spacing w:before="0" w:after="283"/>
              <w:jc w:val="center"/>
              <w:rPr/>
            </w:pPr>
            <w:r>
              <w:rPr/>
              <w:t>Chair Member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871" w:type="dxa"/>
            <w:tcBorders/>
            <w:shd w:fill="FFFFFF" w:val="clear"/>
            <w:tcMar>
              <w:bottom w:w="0" w:type="dxa"/>
            </w:tcMar>
            <w:vAlign w:val="center"/>
          </w:tcPr>
          <w:p>
            <w:pPr>
              <w:pStyle w:val="TableContents"/>
              <w:bidi w:val="0"/>
              <w:spacing w:before="0" w:after="283"/>
              <w:jc w:val="right"/>
              <w:rPr/>
            </w:pPr>
            <w:r>
              <w:rPr/>
              <w:t>19,000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38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839" w:type="dxa"/>
            <w:tcBorders/>
            <w:shd w:fill="FFFFFF" w:val="clear"/>
            <w:tcMar>
              <w:bottom w:w="0" w:type="dxa"/>
            </w:tcMar>
            <w:vAlign w:val="center"/>
          </w:tcPr>
          <w:p>
            <w:pPr>
              <w:pStyle w:val="TableContents"/>
              <w:bidi w:val="0"/>
              <w:spacing w:before="0" w:after="283"/>
              <w:jc w:val="right"/>
              <w:rPr/>
            </w:pPr>
            <w:r>
              <w:rPr/>
              <w:t>19,000</w:t>
            </w:r>
          </w:p>
        </w:tc>
        <w:tc>
          <w:tcPr>
            <w:tcW w:w="81"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23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9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871" w:type="dxa"/>
            <w:tcBorders/>
            <w:shd w:fill="FFFFFF" w:val="clear"/>
            <w:tcMar>
              <w:bottom w:w="0" w:type="dxa"/>
            </w:tcMar>
            <w:vAlign w:val="center"/>
          </w:tcPr>
          <w:p>
            <w:pPr>
              <w:pStyle w:val="TableContents"/>
              <w:bidi w:val="0"/>
              <w:spacing w:before="0" w:after="283"/>
              <w:jc w:val="right"/>
              <w:rPr/>
            </w:pPr>
            <w:r>
              <w:rPr/>
              <w:t>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38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839" w:type="dxa"/>
            <w:tcBorders/>
            <w:shd w:fill="FFFFFF" w:val="clear"/>
            <w:tcMar>
              <w:bottom w:w="0" w:type="dxa"/>
            </w:tcMar>
            <w:vAlign w:val="center"/>
          </w:tcPr>
          <w:p>
            <w:pPr>
              <w:pStyle w:val="TableContents"/>
              <w:bidi w:val="0"/>
              <w:spacing w:before="0" w:after="283"/>
              <w:jc w:val="right"/>
              <w:rPr/>
            </w:pPr>
            <w:r>
              <w:rPr/>
              <w:t>8,000</w:t>
            </w:r>
          </w:p>
        </w:tc>
        <w:tc>
          <w:tcPr>
            <w:tcW w:w="81"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234" w:type="dxa"/>
            <w:tcBorders/>
            <w:shd w:fill="CCEEFF" w:val="clear"/>
            <w:tcMar>
              <w:bottom w:w="0" w:type="dxa"/>
            </w:tcMar>
            <w:vAlign w:val="center"/>
          </w:tcPr>
          <w:p>
            <w:pPr>
              <w:pStyle w:val="TableContents"/>
              <w:bidi w:val="0"/>
              <w:spacing w:before="0" w:after="283"/>
              <w:jc w:val="left"/>
              <w:rPr/>
            </w:pPr>
            <w:r>
              <w:rPr/>
              <w:t>Governance, Compensation and Nominating Committee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92" w:type="dxa"/>
            <w:tcBorders/>
            <w:shd w:fill="CCEEFF" w:val="clear"/>
            <w:tcMar>
              <w:bottom w:w="0" w:type="dxa"/>
            </w:tcMar>
            <w:vAlign w:val="center"/>
          </w:tcPr>
          <w:p>
            <w:pPr>
              <w:pStyle w:val="TableContents"/>
              <w:bidi w:val="0"/>
              <w:spacing w:before="0" w:after="283"/>
              <w:jc w:val="center"/>
              <w:rPr/>
            </w:pPr>
            <w:r>
              <w:rPr/>
              <w:t>Chair Member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871" w:type="dxa"/>
            <w:tcBorders/>
            <w:shd w:fill="CCEEFF" w:val="clear"/>
            <w:tcMar>
              <w:bottom w:w="0" w:type="dxa"/>
            </w:tcMar>
            <w:vAlign w:val="center"/>
          </w:tcPr>
          <w:p>
            <w:pPr>
              <w:pStyle w:val="TableContents"/>
              <w:bidi w:val="0"/>
              <w:spacing w:before="0" w:after="283"/>
              <w:jc w:val="right"/>
              <w:rPr/>
            </w:pPr>
            <w:r>
              <w:rPr/>
              <w:t>19,000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8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839" w:type="dxa"/>
            <w:tcBorders/>
            <w:shd w:fill="CCEEFF" w:val="clear"/>
            <w:tcMar>
              <w:bottom w:w="0" w:type="dxa"/>
            </w:tcMar>
            <w:vAlign w:val="center"/>
          </w:tcPr>
          <w:p>
            <w:pPr>
              <w:pStyle w:val="TableContents"/>
              <w:bidi w:val="0"/>
              <w:spacing w:before="0" w:after="283"/>
              <w:jc w:val="right"/>
              <w:rPr/>
            </w:pPr>
            <w:r>
              <w:rPr/>
              <w:t>19,000</w:t>
            </w:r>
          </w:p>
        </w:tc>
        <w:tc>
          <w:tcPr>
            <w:tcW w:w="81"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23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9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871" w:type="dxa"/>
            <w:tcBorders/>
            <w:shd w:fill="CCEEFF" w:val="clear"/>
            <w:tcMar>
              <w:bottom w:w="0" w:type="dxa"/>
            </w:tcMar>
            <w:vAlign w:val="center"/>
          </w:tcPr>
          <w:p>
            <w:pPr>
              <w:pStyle w:val="TableContents"/>
              <w:bidi w:val="0"/>
              <w:spacing w:before="0" w:after="283"/>
              <w:jc w:val="right"/>
              <w:rPr/>
            </w:pPr>
            <w:r>
              <w:rPr/>
              <w:t>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8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839" w:type="dxa"/>
            <w:tcBorders/>
            <w:shd w:fill="CCEEFF" w:val="clear"/>
            <w:tcMar>
              <w:bottom w:w="0" w:type="dxa"/>
            </w:tcMar>
            <w:vAlign w:val="center"/>
          </w:tcPr>
          <w:p>
            <w:pPr>
              <w:pStyle w:val="TableContents"/>
              <w:bidi w:val="0"/>
              <w:spacing w:before="0" w:after="283"/>
              <w:jc w:val="right"/>
              <w:rPr/>
            </w:pPr>
            <w:r>
              <w:rPr/>
              <w:t>8,000</w:t>
            </w:r>
          </w:p>
        </w:tc>
        <w:tc>
          <w:tcPr>
            <w:tcW w:w="81"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Share Ownership Guidelines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adopted Guidelines that align the interests of our non-employee directors with shareholders. Pursuant to these Guidelines, non-employee directors are expected to directly or indirectly own Eligible Shares (which, for a non-employee director, include Class B Subordinate Voting Shares, Class A Multiple Voting Shares, and deferred share units) with a value not less than 3 times their annual Board membership retainer, or, in the case of the chair of our Board, their annual chair retainer (the “Director Share Ownership Requirement”).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non-employee director’s ownership of Eligible Shares will be calculated as of December 31 of each year and compared to the Director Share Ownership Requirement. An individual will be deemed to have met their Director Share Ownership Requirement where the product of (i) the number of Eligible Shares they own and (ii) the greater of (A) the original grant value or acquisition cost and (B) current market value, as applicable, exceeds the applicable Director Share Ownership Requirement.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determining compliance with the Director Share Ownership Requirement, amounts paid in any currency other than U.S. dollars will be converted to the U.S. dollar equivalent using the noon spot rate of exchange on the relevant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Director Share Ownership Requirement must be met by fifth anniversary of the non-employee director’s Start Date. The period between the Start Date and the date on which the non-employee director must meet their Director Share Ownership Requirement is the “Acquisition Period”. For existing non-employee directors, the Start Date shall be the Closing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Non-employee directors are expected to make progress each year towards meeting their applicable Director Share Ownership Requirement. If as of the anniversary of their Start Date the non-employee director’s aggregate Eligible Share ownership as a percentage of their applicable Director Share Ownership Requirement is less than the percentage of the Acquisition Period that has elapsed, then if the non-employee director is given the opportunity to do so, they must retain at least 25% of their annual Board membership retainer (or in the case of the chair of our Board, the annual chair retainer) in DSUs or RSUs, until there is no longer a deficiency.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Director Share Ownership Requirement is met, the non-employee director is expected to maintain at least that level of ownership of Eligible Shares for the duration of their engagement with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146</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Omnibus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Non-employee directors are granted DSUs under the Omnibus Plan in respect of the part of the retainer to be paid in equity. See “— Elements of Compensation — Long-Term Incentive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end of an eligible director’s tenure as a member of our Board, the director receives Class B Subordinate Voting Shares, a payment in cash based on the fair market value of the Class B Subordinate Voting Shares represented by their DSUs, or a combination of the two.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Compensation Table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did not provide any compensation to its non-employee directors with respect to the fiscal year ended December 31, 2025, and did not grant equity awards to its non-employee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out information concerning the expected compensation to be earned by, paid to, or awarded to the non-employee directors during the fiscal year ending December 31, 2026.</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18"/>
        <w:gridCol w:w="60"/>
        <w:gridCol w:w="64"/>
        <w:gridCol w:w="746"/>
        <w:gridCol w:w="60"/>
        <w:gridCol w:w="60"/>
        <w:gridCol w:w="60"/>
        <w:gridCol w:w="812"/>
        <w:gridCol w:w="60"/>
        <w:gridCol w:w="60"/>
        <w:gridCol w:w="159"/>
        <w:gridCol w:w="696"/>
        <w:gridCol w:w="60"/>
        <w:gridCol w:w="60"/>
        <w:gridCol w:w="283"/>
        <w:gridCol w:w="1232"/>
        <w:gridCol w:w="60"/>
        <w:gridCol w:w="60"/>
        <w:gridCol w:w="156"/>
        <w:gridCol w:w="684"/>
        <w:gridCol w:w="60"/>
        <w:gridCol w:w="60"/>
        <w:gridCol w:w="283"/>
        <w:gridCol w:w="1232"/>
        <w:gridCol w:w="60"/>
        <w:gridCol w:w="60"/>
        <w:gridCol w:w="104"/>
        <w:gridCol w:w="1411"/>
        <w:gridCol w:w="85"/>
      </w:tblGrid>
      <w:tr>
        <w:trPr/>
        <w:tc>
          <w:tcPr>
            <w:tcW w:w="1418" w:type="dxa"/>
            <w:tcBorders>
              <w:bottom w:val="single" w:sz="12"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810" w:type="dxa"/>
            <w:gridSpan w:val="2"/>
            <w:tcBorders>
              <w:bottom w:val="single" w:sz="12" w:space="0" w:color="000000"/>
            </w:tcBorders>
            <w:vAlign w:val="center"/>
          </w:tcPr>
          <w:p>
            <w:pPr>
              <w:pStyle w:val="TableContents"/>
              <w:bidi w:val="0"/>
              <w:spacing w:before="0" w:after="283"/>
              <w:jc w:val="center"/>
              <w:rPr>
                <w:b/>
              </w:rPr>
            </w:pPr>
            <w:r>
              <w:rPr>
                <w:b/>
              </w:rPr>
              <w:t xml:space="preserve">Fees </w:t>
              <w:br/>
              <w:t xml:space="preserve">Earned </w:t>
              <w:br/>
              <w:t>($)</w:t>
            </w:r>
            <w:r>
              <w:rPr>
                <w:b/>
                <w:position w:val="8"/>
                <w:sz w:val="19"/>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2" w:type="dxa"/>
            <w:gridSpan w:val="2"/>
            <w:tcBorders>
              <w:bottom w:val="single" w:sz="12" w:space="0" w:color="000000"/>
            </w:tcBorders>
            <w:vAlign w:val="center"/>
          </w:tcPr>
          <w:p>
            <w:pPr>
              <w:pStyle w:val="TableContents"/>
              <w:bidi w:val="0"/>
              <w:spacing w:before="0" w:after="283"/>
              <w:jc w:val="center"/>
              <w:rPr>
                <w:b/>
              </w:rPr>
            </w:pPr>
            <w:r>
              <w:rPr>
                <w:b/>
              </w:rPr>
              <w:t>Share-</w:t>
              <w:br/>
              <w:t xml:space="preserve">Based </w:t>
              <w:br/>
              <w:t xml:space="preserve">Awards </w:t>
              <w:br/>
              <w:t>($)</w:t>
            </w:r>
            <w:r>
              <w:rPr>
                <w:b/>
                <w:position w:val="8"/>
                <w:sz w:val="19"/>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55" w:type="dxa"/>
            <w:gridSpan w:val="2"/>
            <w:tcBorders>
              <w:bottom w:val="single" w:sz="12" w:space="0" w:color="000000"/>
            </w:tcBorders>
            <w:vAlign w:val="center"/>
          </w:tcPr>
          <w:p>
            <w:pPr>
              <w:pStyle w:val="TableContents"/>
              <w:bidi w:val="0"/>
              <w:spacing w:before="0" w:after="283"/>
              <w:jc w:val="center"/>
              <w:rPr>
                <w:b/>
              </w:rPr>
            </w:pPr>
            <w:r>
              <w:rPr>
                <w:b/>
              </w:rPr>
              <w:t>Option-</w:t>
              <w:br/>
              <w:t xml:space="preserve">Based </w:t>
              <w:br/>
              <w:t xml:space="preserve">Awards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15" w:type="dxa"/>
            <w:gridSpan w:val="2"/>
            <w:tcBorders>
              <w:bottom w:val="single" w:sz="12" w:space="0" w:color="000000"/>
            </w:tcBorders>
            <w:vAlign w:val="center"/>
          </w:tcPr>
          <w:p>
            <w:pPr>
              <w:pStyle w:val="TableContents"/>
              <w:bidi w:val="0"/>
              <w:spacing w:before="0" w:after="283"/>
              <w:jc w:val="center"/>
              <w:rPr>
                <w:b/>
              </w:rPr>
            </w:pPr>
            <w:r>
              <w:rPr>
                <w:b/>
              </w:rPr>
              <w:t xml:space="preserve">Non-Equity </w:t>
              <w:br/>
              <w:t xml:space="preserve">Incentive Plan </w:t>
              <w:br/>
              <w:t xml:space="preserve">Compensation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0" w:type="dxa"/>
            <w:gridSpan w:val="2"/>
            <w:tcBorders>
              <w:bottom w:val="single" w:sz="12" w:space="0" w:color="000000"/>
            </w:tcBorders>
            <w:vAlign w:val="center"/>
          </w:tcPr>
          <w:p>
            <w:pPr>
              <w:pStyle w:val="TableContents"/>
              <w:bidi w:val="0"/>
              <w:spacing w:before="0" w:after="283"/>
              <w:jc w:val="center"/>
              <w:rPr>
                <w:b/>
              </w:rPr>
            </w:pPr>
            <w:r>
              <w:rPr>
                <w:b/>
              </w:rPr>
              <w:t xml:space="preserve">Pension </w:t>
              <w:br/>
              <w:t xml:space="preserve">Value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15" w:type="dxa"/>
            <w:gridSpan w:val="2"/>
            <w:tcBorders>
              <w:bottom w:val="single" w:sz="12" w:space="0" w:color="000000"/>
            </w:tcBorders>
            <w:vAlign w:val="center"/>
          </w:tcPr>
          <w:p>
            <w:pPr>
              <w:pStyle w:val="TableContents"/>
              <w:bidi w:val="0"/>
              <w:spacing w:before="0" w:after="283"/>
              <w:jc w:val="center"/>
              <w:rPr>
                <w:b/>
              </w:rPr>
            </w:pPr>
            <w:r>
              <w:rPr>
                <w:b/>
              </w:rPr>
              <w:t xml:space="preserve">All Other </w:t>
              <w:br/>
              <w:t xml:space="preserve">Compensation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15" w:type="dxa"/>
            <w:gridSpan w:val="2"/>
            <w:tcBorders>
              <w:bottom w:val="single" w:sz="12" w:space="0" w:color="000000"/>
            </w:tcBorders>
            <w:vAlign w:val="center"/>
          </w:tcPr>
          <w:p>
            <w:pPr>
              <w:pStyle w:val="TableContents"/>
              <w:bidi w:val="0"/>
              <w:spacing w:before="0" w:after="283"/>
              <w:jc w:val="center"/>
              <w:rPr>
                <w:b/>
              </w:rPr>
            </w:pPr>
            <w:r>
              <w:rPr>
                <w:b/>
              </w:rPr>
              <w:t xml:space="preserve">Total </w:t>
              <w:br/>
              <w:t xml:space="preserve">Compensation </w:t>
              <w:br/>
              <w:t>($)</w:t>
            </w:r>
          </w:p>
        </w:tc>
        <w:tc>
          <w:tcPr>
            <w:tcW w:w="85" w:type="dxa"/>
            <w:tcBorders/>
            <w:tcMar>
              <w:bottom w:w="0" w:type="dxa"/>
            </w:tcMar>
            <w:vAlign w:val="center"/>
          </w:tcPr>
          <w:p>
            <w:pPr>
              <w:pStyle w:val="TableContents"/>
              <w:bidi w:val="0"/>
              <w:spacing w:before="0" w:after="283"/>
              <w:jc w:val="left"/>
              <w:rPr/>
            </w:pPr>
            <w:r>
              <w:rPr/>
              <w:t> </w:t>
            </w:r>
          </w:p>
        </w:tc>
      </w:tr>
      <w:tr>
        <w:trPr/>
        <w:tc>
          <w:tcPr>
            <w:tcW w:w="1418" w:type="dxa"/>
            <w:tcBorders/>
            <w:shd w:fill="CCEEFF" w:val="clear"/>
            <w:tcMar>
              <w:bottom w:w="0" w:type="dxa"/>
            </w:tcMar>
            <w:vAlign w:val="center"/>
          </w:tcPr>
          <w:p>
            <w:pPr>
              <w:pStyle w:val="TableContents"/>
              <w:bidi w:val="0"/>
              <w:spacing w:before="0" w:after="283"/>
              <w:jc w:val="left"/>
              <w:rPr/>
            </w:pPr>
            <w:r>
              <w:rPr/>
              <w:t>Glenda Dorchak</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746" w:type="dxa"/>
            <w:tcBorders/>
            <w:shd w:fill="CCEEFF" w:val="clear"/>
            <w:tcMar>
              <w:bottom w:w="0" w:type="dxa"/>
            </w:tcMar>
            <w:vAlign w:val="center"/>
          </w:tcPr>
          <w:p>
            <w:pPr>
              <w:pStyle w:val="TableContents"/>
              <w:bidi w:val="0"/>
              <w:spacing w:before="0" w:after="283"/>
              <w:jc w:val="right"/>
              <w:rPr/>
            </w:pPr>
            <w:r>
              <w:rPr/>
              <w:t>77,000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2" w:type="dxa"/>
            <w:tcBorders/>
            <w:shd w:fill="CCEEFF" w:val="clear"/>
            <w:tcMar>
              <w:bottom w:w="0" w:type="dxa"/>
            </w:tcMar>
            <w:vAlign w:val="center"/>
          </w:tcPr>
          <w:p>
            <w:pPr>
              <w:pStyle w:val="TableContents"/>
              <w:bidi w:val="0"/>
              <w:spacing w:before="0" w:after="283"/>
              <w:jc w:val="right"/>
              <w:rPr/>
            </w:pPr>
            <w:r>
              <w:rPr/>
              <w:t>140,000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69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23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68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23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1411" w:type="dxa"/>
            <w:tcBorders/>
            <w:shd w:fill="CCEEFF" w:val="clear"/>
            <w:tcMar>
              <w:bottom w:w="0" w:type="dxa"/>
            </w:tcMar>
            <w:vAlign w:val="center"/>
          </w:tcPr>
          <w:p>
            <w:pPr>
              <w:pStyle w:val="TableContents"/>
              <w:bidi w:val="0"/>
              <w:spacing w:before="0" w:after="283"/>
              <w:jc w:val="right"/>
              <w:rPr/>
            </w:pPr>
            <w:r>
              <w:rPr/>
              <w:t>217,000</w:t>
            </w:r>
          </w:p>
        </w:tc>
        <w:tc>
          <w:tcPr>
            <w:tcW w:w="85" w:type="dxa"/>
            <w:tcBorders/>
            <w:shd w:fill="CCEEFF" w:val="clear"/>
            <w:tcMar>
              <w:bottom w:w="0" w:type="dxa"/>
            </w:tcMar>
            <w:vAlign w:val="center"/>
          </w:tcPr>
          <w:p>
            <w:pPr>
              <w:pStyle w:val="TableContents"/>
              <w:bidi w:val="0"/>
              <w:spacing w:before="0" w:after="283"/>
              <w:jc w:val="left"/>
              <w:rPr/>
            </w:pPr>
            <w:r>
              <w:rPr/>
              <w:t> </w:t>
            </w:r>
          </w:p>
        </w:tc>
      </w:tr>
      <w:tr>
        <w:trPr/>
        <w:tc>
          <w:tcPr>
            <w:tcW w:w="1418" w:type="dxa"/>
            <w:tcBorders/>
            <w:shd w:fill="FFFFFF" w:val="clear"/>
            <w:tcMar>
              <w:bottom w:w="0" w:type="dxa"/>
            </w:tcMar>
            <w:vAlign w:val="center"/>
          </w:tcPr>
          <w:p>
            <w:pPr>
              <w:pStyle w:val="TableContents"/>
              <w:bidi w:val="0"/>
              <w:spacing w:before="0" w:after="283"/>
              <w:jc w:val="left"/>
              <w:rPr/>
            </w:pPr>
            <w:r>
              <w:rPr/>
              <w:t>William (Bill) Fradin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746" w:type="dxa"/>
            <w:tcBorders/>
            <w:shd w:fill="FFFFFF" w:val="clear"/>
            <w:tcMar>
              <w:bottom w:w="0" w:type="dxa"/>
            </w:tcMar>
            <w:vAlign w:val="center"/>
          </w:tcPr>
          <w:p>
            <w:pPr>
              <w:pStyle w:val="TableContents"/>
              <w:bidi w:val="0"/>
              <w:spacing w:before="0" w:after="283"/>
              <w:jc w:val="right"/>
              <w:rPr/>
            </w:pPr>
            <w:r>
              <w:rPr/>
              <w:t>51,500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2" w:type="dxa"/>
            <w:tcBorders/>
            <w:shd w:fill="FFFFFF" w:val="clear"/>
            <w:tcMar>
              <w:bottom w:w="0" w:type="dxa"/>
            </w:tcMar>
            <w:vAlign w:val="center"/>
          </w:tcPr>
          <w:p>
            <w:pPr>
              <w:pStyle w:val="TableContents"/>
              <w:bidi w:val="0"/>
              <w:spacing w:before="0" w:after="283"/>
              <w:jc w:val="right"/>
              <w:rPr/>
            </w:pPr>
            <w:r>
              <w:rPr/>
              <w:t>140,000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69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23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68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23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1411" w:type="dxa"/>
            <w:tcBorders/>
            <w:shd w:fill="FFFFFF" w:val="clear"/>
            <w:tcMar>
              <w:bottom w:w="0" w:type="dxa"/>
            </w:tcMar>
            <w:vAlign w:val="center"/>
          </w:tcPr>
          <w:p>
            <w:pPr>
              <w:pStyle w:val="TableContents"/>
              <w:bidi w:val="0"/>
              <w:spacing w:before="0" w:after="283"/>
              <w:jc w:val="right"/>
              <w:rPr/>
            </w:pPr>
            <w:r>
              <w:rPr/>
              <w:t>191,500</w:t>
            </w:r>
          </w:p>
        </w:tc>
        <w:tc>
          <w:tcPr>
            <w:tcW w:w="85" w:type="dxa"/>
            <w:tcBorders/>
            <w:shd w:fill="FFFFFF" w:val="clear"/>
            <w:tcMar>
              <w:bottom w:w="0" w:type="dxa"/>
            </w:tcMar>
            <w:vAlign w:val="center"/>
          </w:tcPr>
          <w:p>
            <w:pPr>
              <w:pStyle w:val="TableContents"/>
              <w:bidi w:val="0"/>
              <w:spacing w:before="0" w:after="283"/>
              <w:jc w:val="left"/>
              <w:rPr/>
            </w:pPr>
            <w:r>
              <w:rPr/>
              <w:t> </w:t>
            </w:r>
          </w:p>
        </w:tc>
      </w:tr>
      <w:tr>
        <w:trPr/>
        <w:tc>
          <w:tcPr>
            <w:tcW w:w="1418" w:type="dxa"/>
            <w:tcBorders/>
            <w:shd w:fill="CCEEFF" w:val="clear"/>
            <w:tcMar>
              <w:bottom w:w="0" w:type="dxa"/>
            </w:tcMar>
            <w:vAlign w:val="center"/>
          </w:tcPr>
          <w:p>
            <w:pPr>
              <w:pStyle w:val="TableContents"/>
              <w:bidi w:val="0"/>
              <w:spacing w:before="0" w:after="283"/>
              <w:jc w:val="left"/>
              <w:rPr/>
            </w:pPr>
            <w:r>
              <w:rPr/>
              <w:t>Eliot Pence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746" w:type="dxa"/>
            <w:tcBorders/>
            <w:shd w:fill="CCEEFF" w:val="clear"/>
            <w:tcMar>
              <w:bottom w:w="0" w:type="dxa"/>
            </w:tcMar>
            <w:vAlign w:val="center"/>
          </w:tcPr>
          <w:p>
            <w:pPr>
              <w:pStyle w:val="TableContents"/>
              <w:bidi w:val="0"/>
              <w:spacing w:before="0" w:after="283"/>
              <w:jc w:val="right"/>
              <w:rPr/>
            </w:pPr>
            <w:r>
              <w:rPr/>
              <w:t>43,500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2" w:type="dxa"/>
            <w:tcBorders/>
            <w:shd w:fill="CCEEFF" w:val="clear"/>
            <w:tcMar>
              <w:bottom w:w="0" w:type="dxa"/>
            </w:tcMar>
            <w:vAlign w:val="center"/>
          </w:tcPr>
          <w:p>
            <w:pPr>
              <w:pStyle w:val="TableContents"/>
              <w:bidi w:val="0"/>
              <w:spacing w:before="0" w:after="283"/>
              <w:jc w:val="right"/>
              <w:rPr/>
            </w:pPr>
            <w:r>
              <w:rPr/>
              <w:t>140,000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69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23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68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23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1411" w:type="dxa"/>
            <w:tcBorders/>
            <w:shd w:fill="CCEEFF" w:val="clear"/>
            <w:tcMar>
              <w:bottom w:w="0" w:type="dxa"/>
            </w:tcMar>
            <w:vAlign w:val="center"/>
          </w:tcPr>
          <w:p>
            <w:pPr>
              <w:pStyle w:val="TableContents"/>
              <w:bidi w:val="0"/>
              <w:spacing w:before="0" w:after="283"/>
              <w:jc w:val="right"/>
              <w:rPr/>
            </w:pPr>
            <w:r>
              <w:rPr/>
              <w:t>183,500</w:t>
            </w:r>
          </w:p>
        </w:tc>
        <w:tc>
          <w:tcPr>
            <w:tcW w:w="85" w:type="dxa"/>
            <w:tcBorders/>
            <w:shd w:fill="CCEEFF" w:val="clear"/>
            <w:tcMar>
              <w:bottom w:w="0" w:type="dxa"/>
            </w:tcMar>
            <w:vAlign w:val="center"/>
          </w:tcPr>
          <w:p>
            <w:pPr>
              <w:pStyle w:val="TableContents"/>
              <w:bidi w:val="0"/>
              <w:spacing w:before="0" w:after="283"/>
              <w:jc w:val="left"/>
              <w:rPr/>
            </w:pPr>
            <w:r>
              <w:rPr/>
              <w:t> </w:t>
            </w:r>
          </w:p>
        </w:tc>
      </w:tr>
      <w:tr>
        <w:trPr/>
        <w:tc>
          <w:tcPr>
            <w:tcW w:w="1418" w:type="dxa"/>
            <w:tcBorders/>
            <w:shd w:fill="FFFFFF" w:val="clear"/>
            <w:tcMar>
              <w:bottom w:w="0" w:type="dxa"/>
            </w:tcMar>
            <w:vAlign w:val="center"/>
          </w:tcPr>
          <w:p>
            <w:pPr>
              <w:pStyle w:val="TableContents"/>
              <w:bidi w:val="0"/>
              <w:spacing w:before="0" w:after="283"/>
              <w:jc w:val="left"/>
              <w:rPr/>
            </w:pPr>
            <w:r>
              <w:rPr/>
              <w:t>Michelle Reynolds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746" w:type="dxa"/>
            <w:tcBorders/>
            <w:shd w:fill="FFFFFF" w:val="clear"/>
            <w:tcMar>
              <w:bottom w:w="0" w:type="dxa"/>
            </w:tcMar>
            <w:vAlign w:val="center"/>
          </w:tcPr>
          <w:p>
            <w:pPr>
              <w:pStyle w:val="TableContents"/>
              <w:bidi w:val="0"/>
              <w:spacing w:before="0" w:after="283"/>
              <w:jc w:val="right"/>
              <w:rPr/>
            </w:pPr>
            <w:r>
              <w:rPr/>
              <w:t>54,500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2" w:type="dxa"/>
            <w:tcBorders/>
            <w:shd w:fill="FFFFFF" w:val="clear"/>
            <w:tcMar>
              <w:bottom w:w="0" w:type="dxa"/>
            </w:tcMar>
            <w:vAlign w:val="center"/>
          </w:tcPr>
          <w:p>
            <w:pPr>
              <w:pStyle w:val="TableContents"/>
              <w:bidi w:val="0"/>
              <w:spacing w:before="0" w:after="283"/>
              <w:jc w:val="right"/>
              <w:rPr/>
            </w:pPr>
            <w:r>
              <w:rPr/>
              <w:t>140,000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69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23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68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23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1411" w:type="dxa"/>
            <w:tcBorders/>
            <w:shd w:fill="FFFFFF" w:val="clear"/>
            <w:tcMar>
              <w:bottom w:w="0" w:type="dxa"/>
            </w:tcMar>
            <w:vAlign w:val="center"/>
          </w:tcPr>
          <w:p>
            <w:pPr>
              <w:pStyle w:val="TableContents"/>
              <w:bidi w:val="0"/>
              <w:spacing w:before="0" w:after="283"/>
              <w:jc w:val="right"/>
              <w:rPr/>
            </w:pPr>
            <w:r>
              <w:rPr/>
              <w:t>194,500</w:t>
            </w:r>
          </w:p>
        </w:tc>
        <w:tc>
          <w:tcPr>
            <w:tcW w:w="85" w:type="dxa"/>
            <w:tcBorders/>
            <w:shd w:fill="FFFFFF" w:val="clear"/>
            <w:tcMar>
              <w:bottom w:w="0" w:type="dxa"/>
            </w:tcMar>
            <w:vAlign w:val="center"/>
          </w:tcPr>
          <w:p>
            <w:pPr>
              <w:pStyle w:val="TableContents"/>
              <w:bidi w:val="0"/>
              <w:spacing w:before="0" w:after="283"/>
              <w:jc w:val="left"/>
              <w:rPr/>
            </w:pPr>
            <w:r>
              <w:rPr/>
              <w:t> </w:t>
            </w:r>
          </w:p>
        </w:tc>
      </w:tr>
      <w:tr>
        <w:trPr/>
        <w:tc>
          <w:tcPr>
            <w:tcW w:w="1418" w:type="dxa"/>
            <w:tcBorders/>
            <w:shd w:fill="CCEEFF" w:val="clear"/>
            <w:tcMar>
              <w:bottom w:w="0" w:type="dxa"/>
            </w:tcMar>
            <w:vAlign w:val="center"/>
          </w:tcPr>
          <w:p>
            <w:pPr>
              <w:pStyle w:val="TableContents"/>
              <w:bidi w:val="0"/>
              <w:spacing w:before="0" w:after="283"/>
              <w:jc w:val="left"/>
              <w:rPr/>
            </w:pPr>
            <w:r>
              <w:rPr/>
              <w:t>Heidi Shyu</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746" w:type="dxa"/>
            <w:tcBorders/>
            <w:shd w:fill="CCEEFF" w:val="clear"/>
            <w:tcMar>
              <w:bottom w:w="0" w:type="dxa"/>
            </w:tcMar>
            <w:vAlign w:val="center"/>
          </w:tcPr>
          <w:p>
            <w:pPr>
              <w:pStyle w:val="TableContents"/>
              <w:bidi w:val="0"/>
              <w:spacing w:before="0" w:after="283"/>
              <w:jc w:val="right"/>
              <w:rPr/>
            </w:pPr>
            <w:r>
              <w:rPr/>
              <w:t>43,500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2" w:type="dxa"/>
            <w:tcBorders/>
            <w:shd w:fill="CCEEFF" w:val="clear"/>
            <w:tcMar>
              <w:bottom w:w="0" w:type="dxa"/>
            </w:tcMar>
            <w:vAlign w:val="center"/>
          </w:tcPr>
          <w:p>
            <w:pPr>
              <w:pStyle w:val="TableContents"/>
              <w:bidi w:val="0"/>
              <w:spacing w:before="0" w:after="283"/>
              <w:jc w:val="right"/>
              <w:rPr/>
            </w:pPr>
            <w:r>
              <w:rPr/>
              <w:t>140,000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69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23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68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23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1411" w:type="dxa"/>
            <w:tcBorders/>
            <w:shd w:fill="CCEEFF" w:val="clear"/>
            <w:tcMar>
              <w:bottom w:w="0" w:type="dxa"/>
            </w:tcMar>
            <w:vAlign w:val="center"/>
          </w:tcPr>
          <w:p>
            <w:pPr>
              <w:pStyle w:val="TableContents"/>
              <w:bidi w:val="0"/>
              <w:spacing w:before="0" w:after="283"/>
              <w:jc w:val="right"/>
              <w:rPr/>
            </w:pPr>
            <w:r>
              <w:rPr/>
              <w:t>183,500</w:t>
            </w:r>
          </w:p>
        </w:tc>
        <w:tc>
          <w:tcPr>
            <w:tcW w:w="8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(1)</w:t>
            </w:r>
          </w:p>
        </w:tc>
        <w:tc>
          <w:tcPr>
            <w:tcW w:w="9926" w:type="dxa"/>
            <w:tcBorders/>
            <w:vAlign w:val="center"/>
          </w:tcPr>
          <w:p>
            <w:pPr>
              <w:pStyle w:val="TableContents"/>
              <w:bidi w:val="0"/>
              <w:spacing w:before="0" w:after="283"/>
              <w:jc w:val="both"/>
              <w:rPr/>
            </w:pPr>
            <w:r>
              <w:rPr/>
              <w:t>Amount reported represents the cash retainer payable to all board members and is subject to change as board and committee responsibilities are finalized.</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(2)</w:t>
            </w:r>
          </w:p>
        </w:tc>
        <w:tc>
          <w:tcPr>
            <w:tcW w:w="9959" w:type="dxa"/>
            <w:tcBorders/>
            <w:vAlign w:val="center"/>
          </w:tcPr>
          <w:p>
            <w:pPr>
              <w:pStyle w:val="TableContents"/>
              <w:bidi w:val="0"/>
              <w:spacing w:before="0" w:after="283"/>
              <w:jc w:val="both"/>
              <w:rPr/>
            </w:pPr>
            <w:r>
              <w:rPr/>
              <w:t>Amounts reported reflect the expected grant date fair value of DSU awards. The number of DSUs expected to be credited to each non-employee director is expected to be determined by dividing the amount to be paid in DSUs as of the award date by the price per Class B Subordinate Voting Share. The grant date fair values of the DSUs once made are expected to be the same as the accounting fair values under GAAP ASC 718.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Incentive Plan Awards — Value Vested or Earned During the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out, for each of the non-employee directors, the value of the option-based awards, share-based awards and non-equity incentive plan compensation expected to vest in accordance with their terms during the fiscal year ending December 31, 2026:</w:t>
      </w:r>
    </w:p>
    <w:p>
      <w:pPr>
        <w:pStyle w:val="TextBody"/>
        <w:bidi w:val="0"/>
        <w:spacing w:before="0" w:after="0"/>
        <w:ind w:left="0" w:right="0" w:firstLine="360"/>
        <w:jc w:val="both"/>
        <w:rPr>
          <w:caps w:val="false"/>
          <w:smallCaps w:val="false"/>
        </w:rPr>
      </w:pPr>
      <w:r>
        <w:rPr>
          <w:caps w:val="false"/>
          <w:smallCaps w:val="false"/>
        </w:rPr>
        <w:t> </w:t>
      </w:r>
    </w:p>
    <w:tbl>
      <w:tblPr>
        <w:tblW w:w="8237" w:type="dxa"/>
        <w:jc w:val="left"/>
        <w:tblInd w:w="0" w:type="dxa"/>
        <w:tblLayout w:type="fixed"/>
        <w:tblCellMar>
          <w:top w:w="0" w:type="dxa"/>
          <w:left w:w="0" w:type="dxa"/>
          <w:bottom w:w="28" w:type="dxa"/>
          <w:right w:w="0" w:type="dxa"/>
        </w:tblCellMar>
      </w:tblPr>
      <w:tblGrid>
        <w:gridCol w:w="2015"/>
        <w:gridCol w:w="60"/>
        <w:gridCol w:w="323"/>
        <w:gridCol w:w="1406"/>
        <w:gridCol w:w="60"/>
        <w:gridCol w:w="60"/>
        <w:gridCol w:w="120"/>
        <w:gridCol w:w="1609"/>
        <w:gridCol w:w="60"/>
        <w:gridCol w:w="60"/>
        <w:gridCol w:w="447"/>
        <w:gridCol w:w="1942"/>
        <w:gridCol w:w="75"/>
      </w:tblGrid>
      <w:tr>
        <w:trPr/>
        <w:tc>
          <w:tcPr>
            <w:tcW w:w="2015" w:type="dxa"/>
            <w:tcBorders>
              <w:bottom w:val="single" w:sz="12"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729" w:type="dxa"/>
            <w:gridSpan w:val="2"/>
            <w:tcBorders>
              <w:bottom w:val="single" w:sz="12" w:space="0" w:color="000000"/>
            </w:tcBorders>
            <w:vAlign w:val="center"/>
          </w:tcPr>
          <w:p>
            <w:pPr>
              <w:pStyle w:val="TableContents"/>
              <w:bidi w:val="0"/>
              <w:spacing w:before="0" w:after="283"/>
              <w:jc w:val="center"/>
              <w:rPr>
                <w:b/>
              </w:rPr>
            </w:pPr>
            <w:r>
              <w:rPr>
                <w:b/>
              </w:rPr>
              <w:t xml:space="preserve">Option-Based </w:t>
              <w:br/>
              <w:t xml:space="preserve">Awards – Value </w:t>
              <w:br/>
              <w:t xml:space="preserve">Vested During </w:t>
              <w:br/>
              <w:t>the Year</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29" w:type="dxa"/>
            <w:gridSpan w:val="2"/>
            <w:tcBorders>
              <w:bottom w:val="single" w:sz="12" w:space="0" w:color="000000"/>
            </w:tcBorders>
            <w:vAlign w:val="center"/>
          </w:tcPr>
          <w:p>
            <w:pPr>
              <w:pStyle w:val="TableContents"/>
              <w:bidi w:val="0"/>
              <w:spacing w:before="0" w:after="283"/>
              <w:jc w:val="center"/>
              <w:rPr>
                <w:b/>
              </w:rPr>
            </w:pPr>
            <w:r>
              <w:rPr>
                <w:b/>
              </w:rPr>
              <w:t xml:space="preserve">Share-Based </w:t>
              <w:br/>
              <w:t xml:space="preserve">Awards – Value </w:t>
              <w:br/>
              <w:t xml:space="preserve">Vested During </w:t>
              <w:br/>
              <w:t>the Year</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89" w:type="dxa"/>
            <w:gridSpan w:val="2"/>
            <w:tcBorders>
              <w:bottom w:val="single" w:sz="12" w:space="0" w:color="000000"/>
            </w:tcBorders>
            <w:vAlign w:val="center"/>
          </w:tcPr>
          <w:p>
            <w:pPr>
              <w:pStyle w:val="TableContents"/>
              <w:bidi w:val="0"/>
              <w:spacing w:before="0" w:after="283"/>
              <w:jc w:val="center"/>
              <w:rPr>
                <w:b/>
              </w:rPr>
            </w:pPr>
            <w:r>
              <w:rPr>
                <w:b/>
              </w:rPr>
              <w:t xml:space="preserve">Non-Equity </w:t>
              <w:br/>
              <w:t xml:space="preserve">Incentive Plan </w:t>
              <w:br/>
              <w:t xml:space="preserve">Compensation – Value </w:t>
              <w:br/>
              <w:t xml:space="preserve">Earned During </w:t>
              <w:br/>
              <w:t xml:space="preserve">the Year </w:t>
              <w:br/>
              <w:t>($)</w:t>
            </w:r>
          </w:p>
        </w:tc>
        <w:tc>
          <w:tcPr>
            <w:tcW w:w="75" w:type="dxa"/>
            <w:tcBorders/>
            <w:tcMar>
              <w:bottom w:w="0" w:type="dxa"/>
            </w:tcMar>
            <w:vAlign w:val="center"/>
          </w:tcPr>
          <w:p>
            <w:pPr>
              <w:pStyle w:val="TableContents"/>
              <w:bidi w:val="0"/>
              <w:spacing w:before="0" w:after="283"/>
              <w:jc w:val="left"/>
              <w:rPr/>
            </w:pPr>
            <w:r>
              <w:rPr/>
              <w:t> </w:t>
            </w:r>
          </w:p>
        </w:tc>
      </w:tr>
      <w:tr>
        <w:trPr/>
        <w:tc>
          <w:tcPr>
            <w:tcW w:w="2015" w:type="dxa"/>
            <w:tcBorders/>
            <w:shd w:fill="CCEEFF" w:val="clear"/>
            <w:tcMar>
              <w:bottom w:w="0" w:type="dxa"/>
            </w:tcMar>
            <w:vAlign w:val="center"/>
          </w:tcPr>
          <w:p>
            <w:pPr>
              <w:pStyle w:val="TableContents"/>
              <w:bidi w:val="0"/>
              <w:spacing w:before="0" w:after="283"/>
              <w:jc w:val="left"/>
              <w:rPr/>
            </w:pPr>
            <w:r>
              <w:rPr/>
              <w:t>Glenda Dorchak</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3"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609" w:type="dxa"/>
            <w:tcBorders/>
            <w:shd w:fill="CCEEFF" w:val="clear"/>
            <w:tcMar>
              <w:bottom w:w="0" w:type="dxa"/>
            </w:tcMar>
            <w:vAlign w:val="center"/>
          </w:tcPr>
          <w:p>
            <w:pPr>
              <w:pStyle w:val="TableContents"/>
              <w:bidi w:val="0"/>
              <w:spacing w:before="0" w:after="283"/>
              <w:jc w:val="right"/>
              <w:rPr/>
            </w:pPr>
            <w:r>
              <w:rPr/>
              <w:t>140,000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 w:type="dxa"/>
            <w:tcBorders/>
            <w:shd w:fill="CCEEFF" w:val="clear"/>
            <w:tcMar>
              <w:bottom w:w="0" w:type="dxa"/>
            </w:tcMar>
            <w:vAlign w:val="center"/>
          </w:tcPr>
          <w:p>
            <w:pPr>
              <w:pStyle w:val="TableContents"/>
              <w:bidi w:val="0"/>
              <w:spacing w:before="0" w:after="283"/>
              <w:jc w:val="left"/>
              <w:rPr/>
            </w:pPr>
            <w:r>
              <w:rPr/>
              <w:t> </w:t>
            </w:r>
          </w:p>
        </w:tc>
        <w:tc>
          <w:tcPr>
            <w:tcW w:w="1942"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15" w:type="dxa"/>
            <w:tcBorders/>
            <w:shd w:fill="FFFFFF" w:val="clear"/>
            <w:tcMar>
              <w:bottom w:w="0" w:type="dxa"/>
            </w:tcMar>
            <w:vAlign w:val="center"/>
          </w:tcPr>
          <w:p>
            <w:pPr>
              <w:pStyle w:val="TableContents"/>
              <w:bidi w:val="0"/>
              <w:spacing w:before="0" w:after="283"/>
              <w:jc w:val="left"/>
              <w:rPr/>
            </w:pPr>
            <w:r>
              <w:rPr/>
              <w:t>William (Bill) Fradin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3" w:type="dxa"/>
            <w:tcBorders/>
            <w:shd w:fill="FFFFFF" w:val="clear"/>
            <w:tcMar>
              <w:bottom w:w="0" w:type="dxa"/>
            </w:tcMar>
            <w:vAlign w:val="center"/>
          </w:tcPr>
          <w:p>
            <w:pPr>
              <w:pStyle w:val="TableContents"/>
              <w:bidi w:val="0"/>
              <w:spacing w:before="0" w:after="283"/>
              <w:jc w:val="left"/>
              <w:rPr/>
            </w:pPr>
            <w:r>
              <w:rPr/>
              <w:t> </w:t>
            </w:r>
          </w:p>
        </w:tc>
        <w:tc>
          <w:tcPr>
            <w:tcW w:w="140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1609" w:type="dxa"/>
            <w:tcBorders/>
            <w:shd w:fill="FFFFFF" w:val="clear"/>
            <w:tcMar>
              <w:bottom w:w="0" w:type="dxa"/>
            </w:tcMar>
            <w:vAlign w:val="center"/>
          </w:tcPr>
          <w:p>
            <w:pPr>
              <w:pStyle w:val="TableContents"/>
              <w:bidi w:val="0"/>
              <w:spacing w:before="0" w:after="283"/>
              <w:jc w:val="right"/>
              <w:rPr/>
            </w:pPr>
            <w:r>
              <w:rPr/>
              <w:t>140,000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7" w:type="dxa"/>
            <w:tcBorders/>
            <w:shd w:fill="FFFFFF" w:val="clear"/>
            <w:tcMar>
              <w:bottom w:w="0" w:type="dxa"/>
            </w:tcMar>
            <w:vAlign w:val="center"/>
          </w:tcPr>
          <w:p>
            <w:pPr>
              <w:pStyle w:val="TableContents"/>
              <w:bidi w:val="0"/>
              <w:spacing w:before="0" w:after="283"/>
              <w:jc w:val="left"/>
              <w:rPr/>
            </w:pPr>
            <w:r>
              <w:rPr/>
              <w:t> </w:t>
            </w:r>
          </w:p>
        </w:tc>
        <w:tc>
          <w:tcPr>
            <w:tcW w:w="1942"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15" w:type="dxa"/>
            <w:tcBorders/>
            <w:shd w:fill="CCEEFF" w:val="clear"/>
            <w:tcMar>
              <w:bottom w:w="0" w:type="dxa"/>
            </w:tcMar>
            <w:vAlign w:val="center"/>
          </w:tcPr>
          <w:p>
            <w:pPr>
              <w:pStyle w:val="TableContents"/>
              <w:bidi w:val="0"/>
              <w:spacing w:before="0" w:after="283"/>
              <w:jc w:val="left"/>
              <w:rPr/>
            </w:pPr>
            <w:r>
              <w:rPr/>
              <w:t>Eliot Pence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3"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609" w:type="dxa"/>
            <w:tcBorders/>
            <w:shd w:fill="CCEEFF" w:val="clear"/>
            <w:tcMar>
              <w:bottom w:w="0" w:type="dxa"/>
            </w:tcMar>
            <w:vAlign w:val="center"/>
          </w:tcPr>
          <w:p>
            <w:pPr>
              <w:pStyle w:val="TableContents"/>
              <w:bidi w:val="0"/>
              <w:spacing w:before="0" w:after="283"/>
              <w:jc w:val="right"/>
              <w:rPr/>
            </w:pPr>
            <w:r>
              <w:rPr/>
              <w:t>140,000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 w:type="dxa"/>
            <w:tcBorders/>
            <w:shd w:fill="CCEEFF" w:val="clear"/>
            <w:tcMar>
              <w:bottom w:w="0" w:type="dxa"/>
            </w:tcMar>
            <w:vAlign w:val="center"/>
          </w:tcPr>
          <w:p>
            <w:pPr>
              <w:pStyle w:val="TableContents"/>
              <w:bidi w:val="0"/>
              <w:spacing w:before="0" w:after="283"/>
              <w:jc w:val="left"/>
              <w:rPr/>
            </w:pPr>
            <w:r>
              <w:rPr/>
              <w:t> </w:t>
            </w:r>
          </w:p>
        </w:tc>
        <w:tc>
          <w:tcPr>
            <w:tcW w:w="1942"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15" w:type="dxa"/>
            <w:tcBorders/>
            <w:shd w:fill="FFFFFF" w:val="clear"/>
            <w:tcMar>
              <w:bottom w:w="0" w:type="dxa"/>
            </w:tcMar>
            <w:vAlign w:val="center"/>
          </w:tcPr>
          <w:p>
            <w:pPr>
              <w:pStyle w:val="TableContents"/>
              <w:bidi w:val="0"/>
              <w:spacing w:before="0" w:after="283"/>
              <w:jc w:val="left"/>
              <w:rPr/>
            </w:pPr>
            <w:r>
              <w:rPr/>
              <w:t>Michelle Reynolds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3" w:type="dxa"/>
            <w:tcBorders/>
            <w:shd w:fill="FFFFFF" w:val="clear"/>
            <w:tcMar>
              <w:bottom w:w="0" w:type="dxa"/>
            </w:tcMar>
            <w:vAlign w:val="center"/>
          </w:tcPr>
          <w:p>
            <w:pPr>
              <w:pStyle w:val="TableContents"/>
              <w:bidi w:val="0"/>
              <w:spacing w:before="0" w:after="283"/>
              <w:jc w:val="left"/>
              <w:rPr/>
            </w:pPr>
            <w:r>
              <w:rPr/>
              <w:t> </w:t>
            </w:r>
          </w:p>
        </w:tc>
        <w:tc>
          <w:tcPr>
            <w:tcW w:w="140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1609" w:type="dxa"/>
            <w:tcBorders/>
            <w:shd w:fill="FFFFFF" w:val="clear"/>
            <w:tcMar>
              <w:bottom w:w="0" w:type="dxa"/>
            </w:tcMar>
            <w:vAlign w:val="center"/>
          </w:tcPr>
          <w:p>
            <w:pPr>
              <w:pStyle w:val="TableContents"/>
              <w:bidi w:val="0"/>
              <w:spacing w:before="0" w:after="283"/>
              <w:jc w:val="right"/>
              <w:rPr/>
            </w:pPr>
            <w:r>
              <w:rPr/>
              <w:t>140,000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7" w:type="dxa"/>
            <w:tcBorders/>
            <w:shd w:fill="FFFFFF" w:val="clear"/>
            <w:tcMar>
              <w:bottom w:w="0" w:type="dxa"/>
            </w:tcMar>
            <w:vAlign w:val="center"/>
          </w:tcPr>
          <w:p>
            <w:pPr>
              <w:pStyle w:val="TableContents"/>
              <w:bidi w:val="0"/>
              <w:spacing w:before="0" w:after="283"/>
              <w:jc w:val="left"/>
              <w:rPr/>
            </w:pPr>
            <w:r>
              <w:rPr/>
              <w:t> </w:t>
            </w:r>
          </w:p>
        </w:tc>
        <w:tc>
          <w:tcPr>
            <w:tcW w:w="1942"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15" w:type="dxa"/>
            <w:tcBorders/>
            <w:shd w:fill="CCEEFF" w:val="clear"/>
            <w:tcMar>
              <w:bottom w:w="0" w:type="dxa"/>
            </w:tcMar>
            <w:vAlign w:val="center"/>
          </w:tcPr>
          <w:p>
            <w:pPr>
              <w:pStyle w:val="TableContents"/>
              <w:bidi w:val="0"/>
              <w:spacing w:before="0" w:after="283"/>
              <w:jc w:val="left"/>
              <w:rPr/>
            </w:pPr>
            <w:r>
              <w:rPr/>
              <w:t>Heidi Shyu</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3"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609" w:type="dxa"/>
            <w:tcBorders/>
            <w:shd w:fill="CCEEFF" w:val="clear"/>
            <w:tcMar>
              <w:bottom w:w="0" w:type="dxa"/>
            </w:tcMar>
            <w:vAlign w:val="center"/>
          </w:tcPr>
          <w:p>
            <w:pPr>
              <w:pStyle w:val="TableContents"/>
              <w:bidi w:val="0"/>
              <w:spacing w:before="0" w:after="283"/>
              <w:jc w:val="right"/>
              <w:rPr/>
            </w:pPr>
            <w:r>
              <w:rPr/>
              <w:t>140,000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 w:type="dxa"/>
            <w:tcBorders/>
            <w:shd w:fill="CCEEFF" w:val="clear"/>
            <w:tcMar>
              <w:bottom w:w="0" w:type="dxa"/>
            </w:tcMar>
            <w:vAlign w:val="center"/>
          </w:tcPr>
          <w:p>
            <w:pPr>
              <w:pStyle w:val="TableContents"/>
              <w:bidi w:val="0"/>
              <w:spacing w:before="0" w:after="283"/>
              <w:jc w:val="left"/>
              <w:rPr/>
            </w:pPr>
            <w:r>
              <w:rPr/>
              <w:t> </w:t>
            </w:r>
          </w:p>
        </w:tc>
        <w:tc>
          <w:tcPr>
            <w:tcW w:w="1942"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Incentive Plan Awards — Outstanding Option-Based Awards and Share-Based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non-employee directors held outstanding option-based awards or share-based awards on the Closing Date.</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147</w:t>
      </w:r>
    </w:p>
    <w:p>
      <w:pPr>
        <w:pStyle w:val="TextBody"/>
        <w:bidi w:val="0"/>
        <w:spacing w:before="0" w:after="0"/>
        <w:jc w:val="center"/>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3" w:name="a_022"/>
      <w:bookmarkEnd w:id="23"/>
      <w:r>
        <w:rPr>
          <w:rFonts w:ascii="Times New Roman;Times;Serif" w:hAnsi="Times New Roman;Times;Serif"/>
          <w:b/>
          <w:i w:val="false"/>
          <w:caps/>
          <w:sz w:val="20"/>
        </w:rPr>
        <w:t>DESCRIPTION OF SHARE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share capital summarizes certain provisions contained in the Articles and By-laws. The following description does not purport to be complete and is subject to, and qualified in its entirety by reference to, the terms and provisions of the Articles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share capital consists of an unlimited number of Class A Multiple Voting Shares, an unlimited number of Class B Subordinate Voting Shares, and an unlimited number of Preferred Shares, issuable in series.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14, 2026, our share capital consisted of 255,226,928 Xanadu Class A Multiple Voting Shares issued and outstanding, 43,284,411 Xanadu Class B Subordinate Voting Shares issued and outstanding and no Preferred Shares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B Subordinate Voting Shares and Class A Multiple Voting Shares have the same rights and privileges except that Class B Subordinate Voting Shares have one vote per share and the Class A Multiple Voting Shares have ten votes per share. Class A Multiple Voting Shares are subject to typical transfer restrictions and sunset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Rank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Multiple Voting Shares and the Class B Subordinate Voting Shares rank pari passu with respect to the payment of dividends, return of capital and distribution of assets in the event of the liquidation, dissolution or winding up of the Company. In the event of the liquidation, dissolution or winding-up of the Company or any other distribution of its assets among its shareholders for the purpose of winding-up its affairs, whether voluntarily or involuntarily, the holders of Class A Multiple Voting Shares and the Class B Subordinate Voting Shares are entitled to participate equally in the remaining property and assets of the Company available for distribution to the holders of Shares, without preference or distinction among or between the Class A Multiple Voting Shares and the Class B Subordinate Voting Shares, subject to the rights of the holders of any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outstanding Shares are entitled to receive dividends on a share for share basis at such times and in such amounts and form as the Board may from time to time determine, but subject to the rights of the holders of Preferred Shares and the shares of any other class ranking senior to the Shares, without preference or distinction among or between the Class B Subordinate Voting Shares and the Class A Multiple Voting Shares. Under the OBCA, the Company is permitted to pay dividends unless there are reasonable grounds for believing that: (i) the Company is, or would after such payment be, unable to pay its liabilities as they become due; or (ii) the realizable value of the Company’s assets would, as a result of such payment, be less than the aggregate of the Company’s liabilities and stated capital of all classes of shares. In the event of a payment of a dividend in the form of shares, Class B Subordinate Voting Shares would be distributed with respect to outstanding Class B Subordinate Voting Shares and Class A Multiple Voting Shares would be distributed with respect to outstanding Class A Multiple Voting Shares, unless otherwise determined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 and Notices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articles, the holders of Shares are entitled to receive notice of and to attend any meeting of the Shareholders, except meetings at which only holders of a different class or series of shares of the Company are entitled to vote.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such meeting, each Class A Multiple Voting Share is entitled to ten votes per share and each Class B Subordinate Voting Share is entitled to one vote per share, voting together as a single class, except as otherwise expressly provided in our articles or as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148</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and Transfer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B Subordinate Voting Shares are not convertible into any other class of shares. Each outstanding Class A Multiple Voting Share may at any time, at the option of the holder, be converted into one fully paid and non-assessable Class B Subordinate Voting Share. Upon the first date upon which there is a Transfer (as defined below) of a Class A Multiple Voting Share by a holder of Class A Multiple Voting Shares, other than to a Permitted Holder (as defined below) or from any such Permitted Holder back to such holder of Class A Multiple Voting Shares and/or any other Permitted Holder of such holder of Class A Multiple Voting Shares, the holder thereof, without any further action, shall automatically be deemed to have exercised his, her or its rights to convert such Class A Multiple Voting Share into a fully paid and non-assessable Class B Subordinate Voting Share, on a share for share basis, effective immediately upon such Transfer.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all Class A Multiple Voting Shares, regardless of the holder, will convert automatically into Class B Subordinate Voting Shares at the close of business on the date on which the outstanding Class A Multiple Voting Shares represent less than 5% of the aggregate number of outstanding Class B Subordinate Voting Shares and Class A Multiple Voting Shares as a group. Upon such occurrence and without any further action, the authorized and unissued Class A Multiple Voting Shares as a class will be deleted entirely from the authorized capital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from time to time establish policies and procedures relating to the conversion of the Class A Multiple Voting Shares to Class B Subordinate Voting Shares and the general administration of this dual class share structure as it may deem necessary or advisable.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foregoing: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with respect to any specified Person, any other Person which directly or indirectly through one or more intermediaries controls, is controlled by, or is under common control with, such specified Person;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Members of the Immediate Family</w:t>
      </w:r>
      <w:r>
        <w:rPr>
          <w:rFonts w:ascii="Times New Roman;Times;Serif" w:hAnsi="Times New Roman;Times;Serif"/>
          <w:b w:val="false"/>
          <w:i w:val="false"/>
          <w:caps w:val="false"/>
          <w:smallCaps w:val="false"/>
          <w:sz w:val="20"/>
        </w:rPr>
        <w:t xml:space="preserve">” means with respect to any individual, each parent (whether by birth or adoption), spouse, child or other descendants (whether by birth or adoption) of such individual, each spouse of any of the aforementioned Persons, each trust created solely for the benefit of such individual and/or one or more of the aforementioned Persons, and each legal representative of such individual or of any aforementioned Persons (including without limitation a tutor, curator, mandatary due to incapacity, custodian, guardian or testamentary executor), acting in such capacity under the authority of the law, an order from a competent tribunal, a will or a mandate in case of incapacity or similar instrument. For the purposes of this definition, a Person shall be considered the spouse of an individual if such Person is legally married to such individual, lives in a civil union with such individual or is the common law partner (as defined in the </w:t>
      </w:r>
      <w:r>
        <w:rPr>
          <w:rFonts w:ascii="Times New Roman;Times;Serif" w:hAnsi="Times New Roman;Times;Serif"/>
          <w:b w:val="false"/>
          <w:i/>
          <w:caps w:val="false"/>
          <w:smallCaps w:val="false"/>
          <w:sz w:val="20"/>
        </w:rPr>
        <w:t>Income Tax Act</w:t>
      </w:r>
      <w:r>
        <w:rPr>
          <w:rFonts w:ascii="Times New Roman;Times;Serif" w:hAnsi="Times New Roman;Times;Serif"/>
          <w:b w:val="false"/>
          <w:i w:val="false"/>
          <w:caps w:val="false"/>
          <w:smallCaps w:val="false"/>
          <w:sz w:val="20"/>
        </w:rPr>
        <w:t xml:space="preserve"> (Canada) as amended from time to time) of such individual. A Person who was the spouse of an individual within the meaning of this paragraph immediately before the death of such individual shall continue to be considered a spouse of such individual after the death of such individual;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Holders</w:t>
      </w:r>
      <w:r>
        <w:rPr>
          <w:rFonts w:ascii="Times New Roman;Times;Serif" w:hAnsi="Times New Roman;Times;Serif"/>
          <w:b w:val="false"/>
          <w:i w:val="false"/>
          <w:caps w:val="false"/>
          <w:smallCaps w:val="false"/>
          <w:sz w:val="20"/>
        </w:rPr>
        <w:t>” means, in respect of a holder of Class A Multiple Voting Shares that is an individual, the Members of the Immediate Family of such individual and any Person controlled, directly or indirectly, by any such holder, and in respect of a holder of Class A Multiple Voting Shares that is not an individual, an Affiliate of that 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partnership, corporation, company, association, trust, joint venture or limited liability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means, collectively, the Class A Multiple Voting Shares and the Class B Subordinate Voting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of a Class A Multiple Voting Share shall mean any sale, assignment, transfer, conveyance, hypothecation or other transfer or disposition of such share or any legal or beneficial interest in such share, whether or not for value and whether voluntary or involuntary or by operation of law. A “Transfer” shall also include, without limitation, (1) a transfer of a Class A Multiple Voting Share to a broker or other nominee (regardless of whether or not there is a corresponding change in beneficial ownership) or (2) the transfer of, or entering into a binding agreement with respect to, Voting Control over a Class A Multiple Voting Share by proxy or otherwise, provided, however, that the following shall not be considered a “Transfer”: (a) the grant of a proxy to the Company officers or directors at the request of the Board in connection with actions to be taken at an annual or special meeting of shareholders; or (b) the pledge of a Class A Multiple Voting Share that creates a mere security interest in such share pursuant to a bona fide loan or indebtedness transaction so long as the holder of the Class A Multiple Voting Share continues to exercise Voting Control over such pledged shares; provided, however, that a foreclosure on such Class A Multiple Voting Share or other similar action by the pledgee shall constitute a “Transfer”;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149</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Voting Control</w:t>
      </w:r>
      <w:r>
        <w:rPr>
          <w:rFonts w:ascii="Times New Roman;Times;Serif" w:hAnsi="Times New Roman;Times;Serif"/>
          <w:b w:val="false"/>
          <w:i w:val="false"/>
          <w:caps w:val="false"/>
          <w:smallCaps w:val="false"/>
          <w:sz w:val="20"/>
        </w:rPr>
        <w:t>” with respect to a Class A Multiple Voting Share means the exclusive power (whether directly or indirectly) to vote or direct the voting of such Class A Multiple Voting Share by proxy, voting agreement or otherwise; 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is “</w:t>
      </w:r>
      <w:r>
        <w:rPr>
          <w:rFonts w:ascii="Times New Roman;Times;Serif" w:hAnsi="Times New Roman;Times;Serif"/>
          <w:b/>
          <w:i w:val="false"/>
          <w:caps w:val="false"/>
          <w:smallCaps w:val="false"/>
          <w:sz w:val="20"/>
        </w:rPr>
        <w:t>controlled</w:t>
      </w:r>
      <w:r>
        <w:rPr>
          <w:rFonts w:ascii="Times New Roman;Times;Serif" w:hAnsi="Times New Roman;Times;Serif"/>
          <w:b w:val="false"/>
          <w:i w:val="false"/>
          <w:caps w:val="false"/>
          <w:smallCaps w:val="false"/>
          <w:sz w:val="20"/>
        </w:rPr>
        <w:t>” by another Person or other Persons if: (1) in the case of a company or other body corporate wherever or however incorporated: (A) securities entitled to vote in the election of directors carrying in the aggregate at least a majority of the votes for the election of directors and representing in the aggregate at least a majority of the participating (equity) securities are held, other than by way of security only, directly or indirectly, by or solely for the benefit of the other Person or Persons; and (B) the votes carried in the aggregate by such securities are entitled, if exercised, to elect a majority of the board of directors of such company or other body corporate; or (2) in the case of a Person that is not a company or other body corporate, at least a majority of the participating (equity) and voting interests of such Person are held, directly or indirectly, by or solely for the benefit of the other Person or Persons; and “controls”, “controlling” and “under common control with” shall be interpreted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Subdivision or Consolidation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subdivision or consolidation of the Class B Subordinate Voting Shares or the Class A Multiple Voting Shares may be carried out unless, at the same time, the Class A Multiple Voting Shares or the Class B Subordinate Voting Shares, as the case may be, are subdivided or consolidated in the same manner and on the same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Class Votes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by the OBCA, applicable securities laws or our articles, holders of Class B Subordinate Voting Shares and Class A Multiple Voting Shares vote together on all matters subject to a vote of holders of both those classes of shares as if they were one class of shares. Under the OBCA, certain types of amendments to our articles are subject to approval by special resolution of the holders of classes of shares voting separately as a class, including amendments to:</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1"/>
        <w:gridCol w:w="9959"/>
      </w:tblGrid>
      <w:tr>
        <w:trPr/>
        <w:tc>
          <w:tcPr>
            <w:tcW w:w="4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pPr>
            <w:r>
              <w:rPr/>
              <w:t>●</w:t>
            </w:r>
          </w:p>
        </w:tc>
        <w:tc>
          <w:tcPr>
            <w:tcW w:w="9959" w:type="dxa"/>
            <w:tcBorders/>
            <w:vAlign w:val="center"/>
          </w:tcPr>
          <w:p>
            <w:pPr>
              <w:pStyle w:val="TableContents"/>
              <w:bidi w:val="0"/>
              <w:spacing w:before="0" w:after="283"/>
              <w:jc w:val="both"/>
              <w:rPr/>
            </w:pPr>
            <w:r>
              <w:rPr/>
              <w:t>change the rights, privileges, restrictions or conditions attached to the shares of that class;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increase the rights or privileges of any class of shares having rights or privileges equal or superior to the shares of that class;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make any class of shares having rights or privileges inferior to the shares of such class equal or superior to the shares of that class.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other rights at law of any holders of Class B Subordinate Voting Shares or Class A Multiple Voting Shares to vote separately as a class, neither the holders of the Class B Subordinate Voting Shares nor the holders of the Class A Multiple Voting Shares shall be entitled to vote separately as a class upon a proposal to amend our articles in the case of an amendment to: (i) increase or decrease any maximum number of authorized shares of such class, or increase any maximum number of authorized shares of a class having rights or privileges equal or superior to the shares of such class; or (ii) create a new class of shares equal or superior to the shares of such class, which rights are otherwise provided for in paragraphs (a) and (e) of subsection 170(1) of the OBCA. In addition, pursuant to our articles, neither holders of Class B Subordinate Voting Shares nor holders of Class A Multiple Voting Shares will be entitled to vote separately as a class upon a proposal to amend our articles to effect an exchange, reclassification or cancellation of all or part of the shares of such class pursuant to Section 170(1)(b) of the OBCA unless such exchange, reclassification or cancellation: (i) affects only the holders of that class; or (ii) affects the holders of Class B Subordinate Voting Shares and Class A Multiple Voting Shares differently, on a per share basis, and such holders are not already otherwise entitled to vote separately as a class under any applicable law or our articles in respect of such exchange, reclassification or cancellation.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articles, holders of Class B Subordinate Voting Shares and Class A Multiple Voting Shares will be treated equally and identically, on a per share basis, in certain change of control transactions that require approval of Shareholders under the OBCA, unless different treatment of the shares of each such class is approved by a majority of the votes cast by the holders of Class B Subordinate Voting Shares who voted in respect of that resolution and by a majority of the votes cast by the holders of outstanding Class A Multiple Voting Shares, who voted in respect of that resolution, each voting separately as a class at a meeting of the holders of that class called and held for such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150</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Take-Over Bid Protection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Canadian law, an offer to purchase Class A Multiple Voting Shares would not necessarily require that an offer be made to purchase Class B Subordinate Voting Shares. In accordance with the rules of the TSX designed to ensure that, in the event of a take-over bid, the holders of Class B Subordinate Voting Shares will be entitled to participate on an equal footing with holders of Class A Multiple Voting Shares, the holders of not less than 80% of the then outstanding Class A Multiple Voting Shares entered into a customary coattail agreement with a trustee (the “Coattail Agreement”). The Coattail Agreement contains provisions customary for dual class, TSX-listed corporations designed to prevent transactions that otherwise would deprive the holders of Class B Subordinate Voting Shares of rights under the take-over bid provisions of applicable Canadian securities legislation to which they would have been entitled had the Class A Multiple Voting Shares been Class B Subordinate Voting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undertakings in the Coattail Agreement will not apply to prevent a sale of Class A Multiple Voting Shares by a holder of Class A Multiple Voting Shares party to the Coattail Agreement if concurrently an offer is made to purchase Class B Subordinate Voting Shares that:</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offers a price per Class B Subordinate Voting Share at least as high as the highest price per share paid or required to be paid pursuant to the take-over bid for the Class A Multiple Voting Shares;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provides that the percentage of outstanding Class B Subordinate Voting Shares to be taken up (exclusive of shares owned immediately prior to the offer by the offeror or persons acting jointly or in concert with the offeror) is at least as high as the percentage of outstanding Class A Multiple Voting Shares to be sold (exclusive of Class A Multiple Voting Shares owned immediately prior to the offer by the offeror and persons acting jointly or in concert with the offeror);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has no condition attached other than the right not to take up and pay for Class B Subordinate Voting Shares tendered if no shares are purchased pursuant to the offer for Class A Multiple Voting Shares;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4"/>
        <w:gridCol w:w="9956"/>
      </w:tblGrid>
      <w:tr>
        <w:trPr/>
        <w:tc>
          <w:tcPr>
            <w:tcW w:w="4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w:t>
            </w:r>
          </w:p>
        </w:tc>
        <w:tc>
          <w:tcPr>
            <w:tcW w:w="9956" w:type="dxa"/>
            <w:tcBorders/>
            <w:vAlign w:val="center"/>
          </w:tcPr>
          <w:p>
            <w:pPr>
              <w:pStyle w:val="TableContents"/>
              <w:bidi w:val="0"/>
              <w:spacing w:before="0" w:after="283"/>
              <w:jc w:val="both"/>
              <w:rPr/>
            </w:pPr>
            <w:r>
              <w:rPr/>
              <w:t>is in all other material respects identical to the offer for Class A Multiple Voting Shares.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Coattail Agreement will not prevent the sale of Class A Multiple Voting Shares by a holder thereof to a Permitted Holder, provided such sale does not or would not constitute a take-over bid or, if so, is exempt or would be exempt from the formal bid requirements (as defined in applicable securities legislation). The conversion of Class A Multiple Voting Shares into Class B Subordinate Voting Shares shall not, in and of itself, constitute a sale of Class A Multiple Voting Shares for the purposes of the Coattail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Coattail Agreement, any sale of Class A Multiple Voting Shares (including a transfer to a pledgee as security) by a holder of Class A Multiple Voting Shares party to the Coattail Agreement will be conditional upon the transferee or pledgee becoming a party to the Coattail Agreement, to the extent such transferred Class A Multiple Voting Shares are not automatically converted into Class B Subordinate Voting Shares in accordance with our articles.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Coattail Agreement contains provisions for authorizing action by the trustee to enforce the rights under the Coattail Agreement on behalf of the holders of the Class B Subordinate Voting Shares. The obligation of the trustee to take such action will be conditional on the Company or holders of the Class B Subordinate Voting Shares providing such funds and indemnity as the trustee may require. No holder of Class B Subordinate Voting Shares will have the right, other than through the trustee, to institute any action or proceeding or to exercise any other remedy to enforce any rights arising under the Coattail Agreement unless the trustee fails to act on a request authorized by holders of not less than 10% of the outstanding Class B Subordinate Voting Shares and reasonable funds and indemnity have been provided to the trustee.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Coattail Agreement provides that it may not be amended, and no provision thereof may be waived, unless, prior to giving effect to such amendment or waiver, the following have been obtained: (i) the consent of the TSX and any other applicable securities regulatory authority in Canada and (ii) the approval of not less than 66</w:t>
      </w:r>
      <w:r>
        <w:rPr>
          <w:rFonts w:ascii="Times New Roman;Times;Serif" w:hAnsi="Times New Roman;Times;Serif"/>
          <w:b w:val="false"/>
          <w:i w:val="false"/>
          <w:caps w:val="false"/>
          <w:smallCaps w:val="false"/>
          <w:position w:val="7"/>
          <w:sz w:val="16"/>
          <w:sz w:val="20"/>
        </w:rPr>
        <w:t>2/3</w:t>
      </w:r>
      <w:r>
        <w:rPr>
          <w:rFonts w:ascii="Times New Roman;Times;Serif" w:hAnsi="Times New Roman;Times;Serif"/>
          <w:b w:val="false"/>
          <w:i w:val="false"/>
          <w:caps w:val="false"/>
          <w:smallCaps w:val="false"/>
          <w:sz w:val="20"/>
        </w:rPr>
        <w:t>% of the votes cast by holders of Class B Subordinate Voting Shares represented at a meeting duly called for the purpose of considering such amendment or waiver, excluding votes attached to Class B Subordinate Voting Shares held directly or indirectly by holders of Class A Multiple Voting Shares, their affiliates and related parties and any persons who have an agreement to purchase Class A Multiple Voting Shares on terms which would constitute a sale for purposes of the Coattail Agreement other than as permitted thereby.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of the Coattail Agreement limits the rights of any holders of Class B Subordinate Voting Shares under applicable law.</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151</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authorized to issue an unlimited number of Preferred Shares issuable in series. Each series of Preferred Shares shall consist of such number of shares and having such rights, privileges, restrictions and conditions as may be determined by the Board prior to the issuance thereof. Holders of Preferred Shares, except as otherwise provided in the terms specific to a series of Preferred Shares or as required by law, are not entitled to vote at meetings of holders of shares, and are not entitled to vote separately as a class upon a proposal to amend our articles in the case of an amendment of the kind referred to in paragraph (a), (b) or (e) of subsection 170(1) of the OBCA. With respect to the payment of dividends and distribution of assets in the event of liquidation, dissolution or winding-up of the Company, whether voluntary or involuntary, the Preferred Shares are entitled to preference over the Class B Subordinate Voting Shares, Class A Multiple Voting Shares and any other shares ranking junior to the Preferred Shares from time to time and may also be given such other preferences over Class B Subordinate Voting Shares, Class A Multiple Voting Shares and any other shares ranking junior to the Preferred Shares as may be determined at the time of creation of such series.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Preferred Shares and the terms selected by the Board could decrease the amount of earnings and assets available for distribution to holders of Class B Subordinate Voting Shares and Class A Multiple Voting Shares or adversely affect the rights and powers, including the voting rights, of the holders of Class B Subordinate Voting Shares and Class A Multiple Voting Shares without any further vote or action by the holders of Class B Subordinate Voting Shares and Class A Multiple Voting Shares. The issuance of Preferred Shares, or the issuance of rights to purchase Preferred Shares, could make it more difficult for a third-party to acquire a majority of outstanding voting shares and thereby have the effect of delaying, deferring or preventing a change of control of the Company or an unsolicited acquisition proposal or of making the removal of management more difficult. Additionally, the issuance of Preferred Shares may have the effect of decreasing the market price of Class B Subordinate Voting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current intention to issue any Preferred Shares. The Company has filed an undertaking with the OSC pursuant to which the Company has agreed to provide reasonable prior notice to the OSC in the event that the Company intends to issue a series of preference shares that: (a) carry a greater number of votes on a per share basis, irrespective of the number or percentage of preference shares owned, than the Class A Multiple Voting Shares or the Class B Subordinate Voting Shares; or (b) would cause any of the factors set out in section 4.1 of OSC Rule 56-501 Restricted Shares to be present in relation to the Class A Multiple Voting Shares or the Class B Subordinate Voting Shares, regardless of any existing restrictions on the Class A Multiple Voting Shares or the Class B Subordinate Voting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of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Class B Subordinate Voting Shares are listed on the Nasdaq under the ticker symbol “XNDU” and on the TSX under the ticker symbol “XNDU”.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there were three warrants issued exercisable for Class A Multiple Voting Shares and one warrant issued exercisable for Class B Subordinate Voting Shares. On March 30, 2026, the warrants exercisable for Class A Multiple Voting Shares were net exercised. Upon exercise, Xanadu issued 382,977 Class A Multiple Voting Shares at a price of $0.02 per share and 134,550 Class A Multiple Voting Shares at a price of $0.15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for the Class B Subordinate Voting Shares in the United States is Continental Stock Transfer &amp; Trust Company. The Transfer Agent for the Class A Multiple Voting Shares and Class B Subordinate Voting Shares in Canada is Computershare Investor Services Inc. Each person investing in Class B Subordinate Voting Shares held through The Depository Trust Company must rely on the procedures thereof and on institutions that have accounts therewith to exercise any rights of a Company Shareholder.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B Subordinate Voting Shares are listed on the Nasdaq and the TSX in registered form and are not certificated. The Class B Subordinate Voting Shares are traded on the Nasdaq and TSX in book-entry form.</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152</w:t>
      </w:r>
    </w:p>
    <w:p>
      <w:pPr>
        <w:pStyle w:val="TextBody"/>
        <w:bidi w:val="0"/>
        <w:spacing w:before="0" w:after="0"/>
        <w:jc w:val="center"/>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4" w:name="a_023"/>
      <w:bookmarkEnd w:id="24"/>
      <w:r>
        <w:rPr>
          <w:rFonts w:ascii="Times New Roman;Times;Serif" w:hAnsi="Times New Roman;Times;Serif"/>
          <w:b/>
          <w:i w:val="false"/>
          <w:caps/>
          <w:sz w:val="20"/>
        </w:rPr>
        <w:t>BENEFICIAL OWNERSHIP OF THE COMPANY’S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and accompanying footnotes set forth information known to us regarding the actual beneficial ownership of the Shares by:</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each person who is, or is expected to be, the beneficial owner of more than 5% of our outstanding Shares;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281"/>
        <w:gridCol w:w="9862"/>
      </w:tblGrid>
      <w:tr>
        <w:trPr/>
        <w:tc>
          <w:tcPr>
            <w:tcW w:w="6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w:t>
            </w:r>
          </w:p>
        </w:tc>
        <w:tc>
          <w:tcPr>
            <w:tcW w:w="9862" w:type="dxa"/>
            <w:tcBorders/>
            <w:vAlign w:val="center"/>
          </w:tcPr>
          <w:p>
            <w:pPr>
              <w:pStyle w:val="TableContents"/>
              <w:bidi w:val="0"/>
              <w:spacing w:before="0" w:after="283"/>
              <w:jc w:val="both"/>
              <w:rPr/>
            </w:pPr>
            <w:r>
              <w:rPr/>
              <w:t>each of our current directors and named executive officers;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404"/>
        <w:gridCol w:w="9711"/>
      </w:tblGrid>
      <w:tr>
        <w:trPr/>
        <w:tc>
          <w:tcPr>
            <w:tcW w:w="9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pPr>
            <w:r>
              <w:rPr/>
              <w:t>●</w:t>
            </w:r>
          </w:p>
        </w:tc>
        <w:tc>
          <w:tcPr>
            <w:tcW w:w="9711" w:type="dxa"/>
            <w:tcBorders/>
            <w:vAlign w:val="center"/>
          </w:tcPr>
          <w:p>
            <w:pPr>
              <w:pStyle w:val="TableContents"/>
              <w:bidi w:val="0"/>
              <w:spacing w:before="0" w:after="283"/>
              <w:jc w:val="both"/>
              <w:rPr/>
            </w:pPr>
            <w:r>
              <w:rPr/>
              <w:t>all of our directors and officers, as a group.</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the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Shares shown as beneficially owned by such person, except as otherwise indicated in the table or footnotes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of the Company is based on 254,709,401 Class A Multiple Voting Shares and 43,284,436 Class B Subordinate Voting Shares (totaling 297,993,837 Shares) issued and outstanding as of March 26, 2026. Except as otherwise indicated, all beneficial ownership information in this section is presented as of March 26, 2026. In computing the number of Shares beneficially owned by a person and the percentage ownership of such person, we deemed to be outstanding all Shares subject to the warrants we issued and the Legacy Equity Plans (as defined under “Executive Compensation — Long-Term Incentives”) held by the person that are currently exercisable or exercisable within 60 days of March 26, 2026. We did not deem such shares outstanding, however, for the purpose of computing the percentage ownership of any other person. Each Class A Multiple Voting Share entitles the holder thereof to 10 votes per share and each Class B Subordinate Voting Share entitles the holder thereof to one vote per share, voting together as a single class, except as otherwise expressly provided in our articles or as provided by law. The number of Class B Subordinate Voting Shares beneficially owned set forth in the table below give effect, in certain circumstances, to contractual limitations on conversion of Class A Multiple Voting Shares held by the selling securityholder.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153</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and subject to applicable community property laws, we believe that all persons named in the table below have sole voting and investment power with respect to the Shares beneficially owned by them. To our knowledge, none of the Shares beneficially owned by any executive officer or director have been pledged as security. Unless otherwise indicated, the address of each shareholder named below is c/o Xanadu Quantum Technologies Limited, 777 Bay Street, Suite 2400, Toronto, Ontario, M5G 2C8, Canada.</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615"/>
        <w:gridCol w:w="60"/>
        <w:gridCol w:w="60"/>
        <w:gridCol w:w="1100"/>
        <w:gridCol w:w="60"/>
        <w:gridCol w:w="60"/>
        <w:gridCol w:w="137"/>
        <w:gridCol w:w="1008"/>
        <w:gridCol w:w="215"/>
        <w:gridCol w:w="60"/>
        <w:gridCol w:w="73"/>
        <w:gridCol w:w="1207"/>
        <w:gridCol w:w="60"/>
        <w:gridCol w:w="60"/>
        <w:gridCol w:w="153"/>
        <w:gridCol w:w="1127"/>
        <w:gridCol w:w="215"/>
        <w:gridCol w:w="60"/>
        <w:gridCol w:w="85"/>
        <w:gridCol w:w="625"/>
        <w:gridCol w:w="165"/>
      </w:tblGrid>
      <w:tr>
        <w:trPr/>
        <w:tc>
          <w:tcPr>
            <w:tcW w:w="3615" w:type="dxa"/>
            <w:tcBorders>
              <w:bottom w:val="single" w:sz="12" w:space="0" w:color="000000"/>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Address of Beneficial Owner</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b/>
              </w:rPr>
            </w:pPr>
            <w:r>
              <w:rPr>
                <w:b/>
              </w:rPr>
              <w:t>Number of</w:t>
              <w:br/>
              <w:t>Class A</w:t>
              <w:br/>
              <w:t>Multiple</w:t>
              <w:br/>
              <w:t>Voting</w:t>
              <w:br/>
              <w:t>Shares</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bottom w:val="single" w:sz="12" w:space="0" w:color="000000"/>
            </w:tcBorders>
            <w:vAlign w:val="center"/>
          </w:tcPr>
          <w:p>
            <w:pPr>
              <w:pStyle w:val="TableContents"/>
              <w:bidi w:val="0"/>
              <w:spacing w:before="0" w:after="283"/>
              <w:jc w:val="center"/>
              <w:rPr>
                <w:b/>
              </w:rPr>
            </w:pPr>
            <w:r>
              <w:rPr>
                <w:b/>
              </w:rPr>
              <w:t>Percentage</w:t>
              <w:br/>
              <w:t>of Class A</w:t>
              <w:br/>
              <w:t>Multiple</w:t>
              <w:br/>
              <w:t>Voting</w:t>
              <w:br/>
              <w:t>Shares</w:t>
              <w:br/>
              <w:t>(%)</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bottom w:val="single" w:sz="12" w:space="0" w:color="000000"/>
            </w:tcBorders>
            <w:vAlign w:val="center"/>
          </w:tcPr>
          <w:p>
            <w:pPr>
              <w:pStyle w:val="TableContents"/>
              <w:bidi w:val="0"/>
              <w:spacing w:before="0" w:after="283"/>
              <w:jc w:val="center"/>
              <w:rPr>
                <w:b/>
              </w:rPr>
            </w:pPr>
            <w:r>
              <w:rPr>
                <w:b/>
              </w:rPr>
              <w:t>Number of</w:t>
              <w:br/>
              <w:t>Class B</w:t>
              <w:br/>
              <w:t>Subordinate</w:t>
              <w:br/>
              <w:t>Voting</w:t>
              <w:br/>
              <w:t>Shares</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bottom w:val="single" w:sz="12" w:space="0" w:color="000000"/>
            </w:tcBorders>
            <w:vAlign w:val="center"/>
          </w:tcPr>
          <w:p>
            <w:pPr>
              <w:pStyle w:val="TableContents"/>
              <w:bidi w:val="0"/>
              <w:spacing w:before="0" w:after="283"/>
              <w:jc w:val="center"/>
              <w:rPr>
                <w:b/>
              </w:rPr>
            </w:pPr>
            <w:r>
              <w:rPr>
                <w:b/>
              </w:rPr>
              <w:t>Percentage</w:t>
              <w:br/>
              <w:t>of Class B</w:t>
              <w:br/>
              <w:t>Subordinate</w:t>
              <w:br/>
              <w:t>Voting</w:t>
              <w:br/>
              <w:t>Shares</w:t>
              <w:br/>
              <w:t>(%)</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gridSpan w:val="2"/>
            <w:tcBorders>
              <w:bottom w:val="single" w:sz="12" w:space="0" w:color="000000"/>
            </w:tcBorders>
            <w:vAlign w:val="center"/>
          </w:tcPr>
          <w:p>
            <w:pPr>
              <w:pStyle w:val="TableContents"/>
              <w:bidi w:val="0"/>
              <w:spacing w:before="0" w:after="283"/>
              <w:jc w:val="center"/>
              <w:rPr>
                <w:b/>
              </w:rPr>
            </w:pPr>
            <w:r>
              <w:rPr>
                <w:b/>
              </w:rPr>
              <w:t>Total</w:t>
              <w:br/>
              <w:t>Voting</w:t>
              <w:br/>
              <w:t>Power</w:t>
              <w:br/>
              <w:t>(%)</w:t>
            </w:r>
          </w:p>
        </w:tc>
        <w:tc>
          <w:tcPr>
            <w:tcW w:w="165" w:type="dxa"/>
            <w:tcBorders/>
            <w:tcMar>
              <w:bottom w:w="0" w:type="dxa"/>
            </w:tcMar>
            <w:vAlign w:val="center"/>
          </w:tcPr>
          <w:p>
            <w:pPr>
              <w:pStyle w:val="TableContents"/>
              <w:bidi w:val="0"/>
              <w:spacing w:before="0" w:after="283"/>
              <w:ind w:left="0" w:right="0" w:hanging="180"/>
              <w:jc w:val="left"/>
              <w:rPr/>
            </w:pPr>
            <w:r>
              <w:rPr/>
              <w:t> </w:t>
            </w:r>
          </w:p>
        </w:tc>
      </w:tr>
      <w:tr>
        <w:trPr/>
        <w:tc>
          <w:tcPr>
            <w:tcW w:w="3615" w:type="dxa"/>
            <w:tcBorders/>
            <w:shd w:fill="FFFFFF" w:val="clear"/>
            <w:tcMar>
              <w:bottom w:w="0" w:type="dxa"/>
            </w:tcMar>
            <w:vAlign w:val="center"/>
          </w:tcPr>
          <w:p>
            <w:pPr>
              <w:pStyle w:val="TableContents"/>
              <w:bidi w:val="0"/>
              <w:spacing w:before="0" w:after="283"/>
              <w:jc w:val="left"/>
              <w:rPr>
                <w:b/>
              </w:rPr>
            </w:pPr>
            <w:r>
              <w:rPr>
                <w:b/>
              </w:rPr>
              <w:t>5% 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20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127"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625" w:type="dxa"/>
            <w:tcBorders/>
            <w:shd w:fill="FFFFFF" w:val="clear"/>
            <w:tcMar>
              <w:bottom w:w="0" w:type="dxa"/>
            </w:tcMar>
            <w:vAlign w:val="center"/>
          </w:tcPr>
          <w:p>
            <w:pPr>
              <w:pStyle w:val="TableContents"/>
              <w:bidi w:val="0"/>
              <w:spacing w:before="0" w:after="283"/>
              <w:jc w:val="right"/>
              <w:rPr/>
            </w:pPr>
            <w:r>
              <w:rPr/>
              <w:t> </w:t>
            </w:r>
          </w:p>
        </w:tc>
        <w:tc>
          <w:tcPr>
            <w:tcW w:w="16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15" w:type="dxa"/>
            <w:tcBorders/>
            <w:shd w:fill="CCEEFF" w:val="clear"/>
            <w:tcMar>
              <w:bottom w:w="0" w:type="dxa"/>
            </w:tcMar>
            <w:vAlign w:val="center"/>
          </w:tcPr>
          <w:p>
            <w:pPr>
              <w:pStyle w:val="TableContents"/>
              <w:bidi w:val="0"/>
              <w:spacing w:before="0" w:after="283"/>
              <w:jc w:val="left"/>
              <w:rPr/>
            </w:pPr>
            <w:r>
              <w:rPr/>
              <w:t>Entities affiliated with OMERS</w:t>
            </w:r>
            <w:r>
              <w:rPr>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39,746,515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15.6</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207" w:type="dxa"/>
            <w:tcBorders/>
            <w:shd w:fill="CCEEFF" w:val="clear"/>
            <w:tcMar>
              <w:bottom w:w="0" w:type="dxa"/>
            </w:tcMar>
            <w:vAlign w:val="center"/>
          </w:tcPr>
          <w:p>
            <w:pPr>
              <w:pStyle w:val="TableContents"/>
              <w:bidi w:val="0"/>
              <w:spacing w:before="0" w:after="283"/>
              <w:jc w:val="righ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127" w:type="dxa"/>
            <w:tcBorders/>
            <w:shd w:fill="CCEEFF" w:val="clear"/>
            <w:tcMar>
              <w:bottom w:w="0" w:type="dxa"/>
            </w:tcMar>
            <w:vAlign w:val="center"/>
          </w:tcPr>
          <w:p>
            <w:pPr>
              <w:pStyle w:val="TableContents"/>
              <w:bidi w:val="0"/>
              <w:spacing w:before="0" w:after="283"/>
              <w:jc w:val="right"/>
              <w:rPr/>
            </w:pPr>
            <w:r>
              <w:rPr/>
              <w:t>48.2</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625" w:type="dxa"/>
            <w:tcBorders/>
            <w:shd w:fill="CCEEFF" w:val="clear"/>
            <w:tcMar>
              <w:bottom w:w="0" w:type="dxa"/>
            </w:tcMar>
            <w:vAlign w:val="center"/>
          </w:tcPr>
          <w:p>
            <w:pPr>
              <w:pStyle w:val="TableContents"/>
              <w:bidi w:val="0"/>
              <w:spacing w:before="0" w:after="283"/>
              <w:jc w:val="right"/>
              <w:rPr/>
            </w:pPr>
            <w:r>
              <w:rPr/>
              <w:t>15.4</w:t>
            </w:r>
          </w:p>
        </w:tc>
        <w:tc>
          <w:tcPr>
            <w:tcW w:w="16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3615" w:type="dxa"/>
            <w:tcBorders/>
            <w:shd w:fill="FFFFFF" w:val="clear"/>
            <w:tcMar>
              <w:bottom w:w="0" w:type="dxa"/>
            </w:tcMar>
            <w:vAlign w:val="center"/>
          </w:tcPr>
          <w:p>
            <w:pPr>
              <w:pStyle w:val="TableContents"/>
              <w:bidi w:val="0"/>
              <w:spacing w:before="0" w:after="283"/>
              <w:jc w:val="left"/>
              <w:rPr/>
            </w:pPr>
            <w:r>
              <w:rPr/>
              <w:t>Entities affiliated with Georgian Partners</w:t>
            </w:r>
            <w:r>
              <w:rPr>
                <w:position w:val="8"/>
                <w:sz w:val="19"/>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29,514,154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11.6</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207" w:type="dxa"/>
            <w:tcBorders/>
            <w:shd w:fill="FFFFFF" w:val="clear"/>
            <w:tcMar>
              <w:bottom w:w="0" w:type="dxa"/>
            </w:tcMar>
            <w:vAlign w:val="center"/>
          </w:tcPr>
          <w:p>
            <w:pPr>
              <w:pStyle w:val="TableContents"/>
              <w:bidi w:val="0"/>
              <w:spacing w:before="0" w:after="283"/>
              <w:jc w:val="right"/>
              <w:rPr/>
            </w:pPr>
            <w:r>
              <w:rPr/>
              <w:t>200,000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127" w:type="dxa"/>
            <w:tcBorders/>
            <w:shd w:fill="FFFFFF" w:val="clear"/>
            <w:tcMar>
              <w:bottom w:w="0" w:type="dxa"/>
            </w:tcMar>
            <w:vAlign w:val="center"/>
          </w:tcPr>
          <w:p>
            <w:pPr>
              <w:pStyle w:val="TableContents"/>
              <w:bidi w:val="0"/>
              <w:spacing w:before="0" w:after="283"/>
              <w:jc w:val="right"/>
              <w:rPr/>
            </w:pPr>
            <w:r>
              <w:rPr/>
              <w:t>40.7</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625" w:type="dxa"/>
            <w:tcBorders/>
            <w:shd w:fill="FFFFFF" w:val="clear"/>
            <w:tcMar>
              <w:bottom w:w="0" w:type="dxa"/>
            </w:tcMar>
            <w:vAlign w:val="center"/>
          </w:tcPr>
          <w:p>
            <w:pPr>
              <w:pStyle w:val="TableContents"/>
              <w:bidi w:val="0"/>
              <w:spacing w:before="0" w:after="283"/>
              <w:jc w:val="right"/>
              <w:rPr/>
            </w:pPr>
            <w:r>
              <w:rPr/>
              <w:t>11.4</w:t>
            </w:r>
          </w:p>
        </w:tc>
        <w:tc>
          <w:tcPr>
            <w:tcW w:w="165"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3615" w:type="dxa"/>
            <w:tcBorders/>
            <w:shd w:fill="CCEEFF" w:val="clear"/>
            <w:tcMar>
              <w:bottom w:w="0" w:type="dxa"/>
            </w:tcMar>
            <w:vAlign w:val="center"/>
          </w:tcPr>
          <w:p>
            <w:pPr>
              <w:pStyle w:val="TableContents"/>
              <w:bidi w:val="0"/>
              <w:spacing w:before="0" w:after="283"/>
              <w:jc w:val="left"/>
              <w:rPr/>
            </w:pPr>
            <w:r>
              <w:rPr/>
              <w:t>Entities affiliated with Bessemer Venture Partners</w:t>
            </w:r>
            <w:r>
              <w:rPr>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22,785,156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8.9</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207" w:type="dxa"/>
            <w:tcBorders/>
            <w:shd w:fill="CCEEFF" w:val="clear"/>
            <w:tcMar>
              <w:bottom w:w="0" w:type="dxa"/>
            </w:tcMar>
            <w:vAlign w:val="center"/>
          </w:tcPr>
          <w:p>
            <w:pPr>
              <w:pStyle w:val="TableContents"/>
              <w:bidi w:val="0"/>
              <w:spacing w:before="0" w:after="283"/>
              <w:jc w:val="right"/>
              <w:rPr/>
            </w:pPr>
            <w:r>
              <w:rPr/>
              <w:t>150,000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127" w:type="dxa"/>
            <w:tcBorders/>
            <w:shd w:fill="CCEEFF" w:val="clear"/>
            <w:tcMar>
              <w:bottom w:w="0" w:type="dxa"/>
            </w:tcMar>
            <w:vAlign w:val="center"/>
          </w:tcPr>
          <w:p>
            <w:pPr>
              <w:pStyle w:val="TableContents"/>
              <w:bidi w:val="0"/>
              <w:spacing w:before="0" w:after="283"/>
              <w:jc w:val="right"/>
              <w:rPr/>
            </w:pPr>
            <w:r>
              <w:rPr/>
              <w:t>9.9</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625" w:type="dxa"/>
            <w:tcBorders/>
            <w:shd w:fill="CCEEFF" w:val="clear"/>
            <w:tcMar>
              <w:bottom w:w="0" w:type="dxa"/>
            </w:tcMar>
            <w:vAlign w:val="center"/>
          </w:tcPr>
          <w:p>
            <w:pPr>
              <w:pStyle w:val="TableContents"/>
              <w:bidi w:val="0"/>
              <w:spacing w:before="0" w:after="283"/>
              <w:jc w:val="right"/>
              <w:rPr/>
            </w:pPr>
            <w:r>
              <w:rPr/>
              <w:t>8.8</w:t>
            </w:r>
          </w:p>
        </w:tc>
        <w:tc>
          <w:tcPr>
            <w:tcW w:w="16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3615" w:type="dxa"/>
            <w:tcBorders/>
            <w:shd w:fill="FFFFFF" w:val="clear"/>
            <w:tcMar>
              <w:bottom w:w="0" w:type="dxa"/>
            </w:tcMar>
            <w:vAlign w:val="center"/>
          </w:tcPr>
          <w:p>
            <w:pPr>
              <w:pStyle w:val="TableContents"/>
              <w:bidi w:val="0"/>
              <w:spacing w:before="0" w:after="283"/>
              <w:jc w:val="left"/>
              <w:rPr/>
            </w:pPr>
            <w:r>
              <w:rPr/>
              <w:t>Entities affiliated with Radical Ventures</w:t>
            </w:r>
            <w:r>
              <w:rPr>
                <w:position w:val="8"/>
                <w:sz w:val="19"/>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11,898,488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4.7</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20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127" w:type="dxa"/>
            <w:tcBorders/>
            <w:shd w:fill="FFFFFF" w:val="clear"/>
            <w:tcMar>
              <w:bottom w:w="0" w:type="dxa"/>
            </w:tcMar>
            <w:vAlign w:val="center"/>
          </w:tcPr>
          <w:p>
            <w:pPr>
              <w:pStyle w:val="TableContents"/>
              <w:bidi w:val="0"/>
              <w:spacing w:before="0" w:after="283"/>
              <w:jc w:val="right"/>
              <w:rPr/>
            </w:pPr>
            <w:r>
              <w:rPr/>
              <w:t>21.6</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625" w:type="dxa"/>
            <w:tcBorders/>
            <w:shd w:fill="FFFFFF" w:val="clear"/>
            <w:tcMar>
              <w:bottom w:w="0" w:type="dxa"/>
            </w:tcMar>
            <w:vAlign w:val="center"/>
          </w:tcPr>
          <w:p>
            <w:pPr>
              <w:pStyle w:val="TableContents"/>
              <w:bidi w:val="0"/>
              <w:spacing w:before="0" w:after="283"/>
              <w:jc w:val="right"/>
              <w:rPr/>
            </w:pPr>
            <w:r>
              <w:rPr/>
              <w:t>4.6</w:t>
            </w:r>
          </w:p>
        </w:tc>
        <w:tc>
          <w:tcPr>
            <w:tcW w:w="165"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3615" w:type="dxa"/>
            <w:tcBorders/>
            <w:shd w:fill="CCEEFF" w:val="clear"/>
            <w:tcMar>
              <w:bottom w:w="0" w:type="dxa"/>
            </w:tcMar>
            <w:vAlign w:val="center"/>
          </w:tcPr>
          <w:p>
            <w:pPr>
              <w:pStyle w:val="TableContents"/>
              <w:bidi w:val="0"/>
              <w:spacing w:before="0" w:after="283"/>
              <w:jc w:val="left"/>
              <w:rPr/>
            </w:pPr>
            <w:r>
              <w:rPr/>
              <w:t>Technology Impact Fund II,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11,080,951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4.4</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20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127" w:type="dxa"/>
            <w:tcBorders/>
            <w:shd w:fill="CCEEFF" w:val="clear"/>
            <w:tcMar>
              <w:bottom w:w="0" w:type="dxa"/>
            </w:tcMar>
            <w:vAlign w:val="center"/>
          </w:tcPr>
          <w:p>
            <w:pPr>
              <w:pStyle w:val="TableContents"/>
              <w:bidi w:val="0"/>
              <w:spacing w:before="0" w:after="283"/>
              <w:jc w:val="right"/>
              <w:rPr/>
            </w:pPr>
            <w:r>
              <w:rPr/>
              <w:t>19.9</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625" w:type="dxa"/>
            <w:tcBorders/>
            <w:shd w:fill="CCEEFF" w:val="clear"/>
            <w:tcMar>
              <w:bottom w:w="0" w:type="dxa"/>
            </w:tcMar>
            <w:vAlign w:val="center"/>
          </w:tcPr>
          <w:p>
            <w:pPr>
              <w:pStyle w:val="TableContents"/>
              <w:bidi w:val="0"/>
              <w:spacing w:before="0" w:after="283"/>
              <w:jc w:val="right"/>
              <w:rPr/>
            </w:pPr>
            <w:r>
              <w:rPr/>
              <w:t>4.3</w:t>
            </w:r>
          </w:p>
        </w:tc>
        <w:tc>
          <w:tcPr>
            <w:tcW w:w="16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3615" w:type="dxa"/>
            <w:tcBorders/>
            <w:shd w:fill="FFFFFF" w:val="clear"/>
            <w:tcMar>
              <w:bottom w:w="0" w:type="dxa"/>
            </w:tcMar>
            <w:vAlign w:val="center"/>
          </w:tcPr>
          <w:p>
            <w:pPr>
              <w:pStyle w:val="TableContents"/>
              <w:bidi w:val="0"/>
              <w:spacing w:before="0" w:after="283"/>
              <w:jc w:val="left"/>
              <w:rPr/>
            </w:pPr>
            <w:r>
              <w:rPr/>
              <w:t>Crane Harbor Sponsor, LLC</w:t>
            </w:r>
            <w:r>
              <w:rPr>
                <w:position w:val="8"/>
                <w:sz w:val="19"/>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207" w:type="dxa"/>
            <w:tcBorders/>
            <w:shd w:fill="FFFFFF" w:val="clear"/>
            <w:tcMar>
              <w:bottom w:w="0" w:type="dxa"/>
            </w:tcMar>
            <w:vAlign w:val="center"/>
          </w:tcPr>
          <w:p>
            <w:pPr>
              <w:pStyle w:val="TableContents"/>
              <w:bidi w:val="0"/>
              <w:spacing w:before="0" w:after="283"/>
              <w:jc w:val="right"/>
              <w:rPr/>
            </w:pPr>
            <w:r>
              <w:rPr/>
              <w:t>7,795,333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127" w:type="dxa"/>
            <w:tcBorders/>
            <w:shd w:fill="FFFFFF" w:val="clear"/>
            <w:tcMar>
              <w:bottom w:w="0" w:type="dxa"/>
            </w:tcMar>
            <w:vAlign w:val="center"/>
          </w:tcPr>
          <w:p>
            <w:pPr>
              <w:pStyle w:val="TableContents"/>
              <w:bidi w:val="0"/>
              <w:spacing w:before="0" w:after="283"/>
              <w:jc w:val="right"/>
              <w:rPr/>
            </w:pPr>
            <w:r>
              <w:rPr/>
              <w:t>15.2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625" w:type="dxa"/>
            <w:tcBorders/>
            <w:shd w:fill="FFFFFF" w:val="clear"/>
            <w:tcMar>
              <w:bottom w:w="0" w:type="dxa"/>
            </w:tcMar>
            <w:vAlign w:val="center"/>
          </w:tcPr>
          <w:p>
            <w:pPr>
              <w:pStyle w:val="TableContents"/>
              <w:bidi w:val="0"/>
              <w:spacing w:before="0" w:after="283"/>
              <w:jc w:val="right"/>
              <w:rPr/>
            </w:pPr>
            <w:r>
              <w:rPr/>
              <w:t>*</w:t>
            </w:r>
          </w:p>
        </w:tc>
        <w:tc>
          <w:tcPr>
            <w:tcW w:w="16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15" w:type="dxa"/>
            <w:tcBorders/>
            <w:shd w:fill="CCEEFF" w:val="clear"/>
            <w:tcMar>
              <w:bottom w:w="0" w:type="dxa"/>
            </w:tcMar>
            <w:vAlign w:val="center"/>
          </w:tcPr>
          <w:p>
            <w:pPr>
              <w:pStyle w:val="TableContents"/>
              <w:bidi w:val="0"/>
              <w:spacing w:before="0" w:after="283"/>
              <w:jc w:val="left"/>
              <w:rPr/>
            </w:pPr>
            <w:r>
              <w:rPr/>
              <w:t>MMCAP International Inc. SPC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207" w:type="dxa"/>
            <w:tcBorders/>
            <w:shd w:fill="CCEEFF" w:val="clear"/>
            <w:tcMar>
              <w:bottom w:w="0" w:type="dxa"/>
            </w:tcMar>
            <w:vAlign w:val="center"/>
          </w:tcPr>
          <w:p>
            <w:pPr>
              <w:pStyle w:val="TableContents"/>
              <w:bidi w:val="0"/>
              <w:spacing w:before="0" w:after="283"/>
              <w:jc w:val="right"/>
              <w:rPr/>
            </w:pPr>
            <w:r>
              <w:rPr/>
              <w:t>6,875,000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127" w:type="dxa"/>
            <w:tcBorders/>
            <w:shd w:fill="CCEEFF" w:val="clear"/>
            <w:tcMar>
              <w:bottom w:w="0" w:type="dxa"/>
            </w:tcMar>
            <w:vAlign w:val="center"/>
          </w:tcPr>
          <w:p>
            <w:pPr>
              <w:pStyle w:val="TableContents"/>
              <w:bidi w:val="0"/>
              <w:spacing w:before="0" w:after="283"/>
              <w:jc w:val="right"/>
              <w:rPr/>
            </w:pPr>
            <w:r>
              <w:rPr/>
              <w:t>13.7</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625" w:type="dxa"/>
            <w:tcBorders/>
            <w:shd w:fill="CCEEFF" w:val="clear"/>
            <w:tcMar>
              <w:bottom w:w="0" w:type="dxa"/>
            </w:tcMar>
            <w:vAlign w:val="center"/>
          </w:tcPr>
          <w:p>
            <w:pPr>
              <w:pStyle w:val="TableContents"/>
              <w:bidi w:val="0"/>
              <w:spacing w:before="0" w:after="283"/>
              <w:jc w:val="right"/>
              <w:rPr/>
            </w:pPr>
            <w:r>
              <w:rPr/>
              <w:t>*</w:t>
            </w:r>
          </w:p>
        </w:tc>
        <w:tc>
          <w:tcPr>
            <w:tcW w:w="16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15" w:type="dxa"/>
            <w:tcBorders/>
            <w:shd w:fill="FFFFFF" w:val="clear"/>
            <w:tcMar>
              <w:bottom w:w="0" w:type="dxa"/>
            </w:tcMar>
            <w:vAlign w:val="center"/>
          </w:tcPr>
          <w:p>
            <w:pPr>
              <w:pStyle w:val="TableContents"/>
              <w:bidi w:val="0"/>
              <w:spacing w:before="0" w:after="283"/>
              <w:jc w:val="left"/>
              <w:rPr/>
            </w:pPr>
            <w:r>
              <w:rPr/>
              <w:t>Aurora Investment Pte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3,099,620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1.2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20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127" w:type="dxa"/>
            <w:tcBorders/>
            <w:shd w:fill="FFFFFF" w:val="clear"/>
            <w:tcMar>
              <w:bottom w:w="0" w:type="dxa"/>
            </w:tcMar>
            <w:vAlign w:val="center"/>
          </w:tcPr>
          <w:p>
            <w:pPr>
              <w:pStyle w:val="TableContents"/>
              <w:bidi w:val="0"/>
              <w:spacing w:before="0" w:after="283"/>
              <w:jc w:val="right"/>
              <w:rPr/>
            </w:pPr>
            <w:r>
              <w:rPr/>
              <w:t>6.7</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625" w:type="dxa"/>
            <w:tcBorders/>
            <w:shd w:fill="FFFFFF" w:val="clear"/>
            <w:tcMar>
              <w:bottom w:w="0" w:type="dxa"/>
            </w:tcMar>
            <w:vAlign w:val="center"/>
          </w:tcPr>
          <w:p>
            <w:pPr>
              <w:pStyle w:val="TableContents"/>
              <w:bidi w:val="0"/>
              <w:spacing w:before="0" w:after="283"/>
              <w:jc w:val="right"/>
              <w:rPr/>
            </w:pPr>
            <w:r>
              <w:rPr/>
              <w:t>1.2</w:t>
            </w:r>
          </w:p>
        </w:tc>
        <w:tc>
          <w:tcPr>
            <w:tcW w:w="165"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3615" w:type="dxa"/>
            <w:tcBorders/>
            <w:shd w:fill="CCEEFF" w:val="clear"/>
            <w:tcMar>
              <w:bottom w:w="0" w:type="dxa"/>
            </w:tcMar>
            <w:vAlign w:val="center"/>
          </w:tcPr>
          <w:p>
            <w:pPr>
              <w:pStyle w:val="TableContents"/>
              <w:bidi w:val="0"/>
              <w:spacing w:before="0" w:after="283"/>
              <w:jc w:val="left"/>
              <w:rPr/>
            </w:pPr>
            <w:r>
              <w:rPr/>
              <w:t>PlanetFirst Co-Investment Partnership SCSp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207" w:type="dxa"/>
            <w:tcBorders/>
            <w:shd w:fill="CCEEFF" w:val="clear"/>
            <w:tcMar>
              <w:bottom w:w="0" w:type="dxa"/>
            </w:tcMar>
            <w:vAlign w:val="center"/>
          </w:tcPr>
          <w:p>
            <w:pPr>
              <w:pStyle w:val="TableContents"/>
              <w:bidi w:val="0"/>
              <w:spacing w:before="0" w:after="283"/>
              <w:jc w:val="right"/>
              <w:rPr/>
            </w:pPr>
            <w:r>
              <w:rPr/>
              <w:t>2,800,000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127" w:type="dxa"/>
            <w:tcBorders/>
            <w:shd w:fill="CCEEFF" w:val="clear"/>
            <w:tcMar>
              <w:bottom w:w="0" w:type="dxa"/>
            </w:tcMar>
            <w:vAlign w:val="center"/>
          </w:tcPr>
          <w:p>
            <w:pPr>
              <w:pStyle w:val="TableContents"/>
              <w:bidi w:val="0"/>
              <w:spacing w:before="0" w:after="283"/>
              <w:jc w:val="right"/>
              <w:rPr/>
            </w:pPr>
            <w:r>
              <w:rPr/>
              <w:t>6.1</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625" w:type="dxa"/>
            <w:tcBorders/>
            <w:shd w:fill="CCEEFF" w:val="clear"/>
            <w:tcMar>
              <w:bottom w:w="0" w:type="dxa"/>
            </w:tcMar>
            <w:vAlign w:val="center"/>
          </w:tcPr>
          <w:p>
            <w:pPr>
              <w:pStyle w:val="TableContents"/>
              <w:bidi w:val="0"/>
              <w:spacing w:before="0" w:after="283"/>
              <w:jc w:val="right"/>
              <w:rPr/>
            </w:pPr>
            <w:r>
              <w:rPr/>
              <w:t>*</w:t>
            </w:r>
          </w:p>
        </w:tc>
        <w:tc>
          <w:tcPr>
            <w:tcW w:w="16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15" w:type="dxa"/>
            <w:tcBorders/>
            <w:shd w:fill="FFFFFF" w:val="clear"/>
            <w:tcMar>
              <w:bottom w:w="0" w:type="dxa"/>
            </w:tcMar>
            <w:vAlign w:val="center"/>
          </w:tcPr>
          <w:p>
            <w:pPr>
              <w:pStyle w:val="TableContents"/>
              <w:bidi w:val="0"/>
              <w:spacing w:before="0" w:after="283"/>
              <w:jc w:val="left"/>
              <w:rPr/>
            </w:pPr>
            <w:r>
              <w:rPr/>
              <w:t>TI Platform Fund I,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2,818,058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1.1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20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127" w:type="dxa"/>
            <w:tcBorders/>
            <w:shd w:fill="FFFFFF" w:val="clear"/>
            <w:tcMar>
              <w:bottom w:w="0" w:type="dxa"/>
            </w:tcMar>
            <w:vAlign w:val="center"/>
          </w:tcPr>
          <w:p>
            <w:pPr>
              <w:pStyle w:val="TableContents"/>
              <w:bidi w:val="0"/>
              <w:spacing w:before="0" w:after="283"/>
              <w:jc w:val="right"/>
              <w:rPr/>
            </w:pPr>
            <w:r>
              <w:rPr/>
              <w:t>4.9</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625" w:type="dxa"/>
            <w:tcBorders/>
            <w:shd w:fill="FFFFFF" w:val="clear"/>
            <w:tcMar>
              <w:bottom w:w="0" w:type="dxa"/>
            </w:tcMar>
            <w:vAlign w:val="center"/>
          </w:tcPr>
          <w:p>
            <w:pPr>
              <w:pStyle w:val="TableContents"/>
              <w:bidi w:val="0"/>
              <w:spacing w:before="0" w:after="283"/>
              <w:jc w:val="right"/>
              <w:rPr/>
            </w:pPr>
            <w:r>
              <w:rPr/>
              <w:t>1.1</w:t>
            </w:r>
          </w:p>
        </w:tc>
        <w:tc>
          <w:tcPr>
            <w:tcW w:w="165"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3615" w:type="dxa"/>
            <w:tcBorders/>
            <w:shd w:fill="CCEEFF" w:val="clear"/>
            <w:tcMar>
              <w:bottom w:w="0" w:type="dxa"/>
            </w:tcMar>
            <w:vAlign w:val="center"/>
          </w:tcPr>
          <w:p>
            <w:pPr>
              <w:pStyle w:val="TableContents"/>
              <w:bidi w:val="0"/>
              <w:spacing w:before="0" w:after="283"/>
              <w:jc w:val="left"/>
              <w:rPr/>
            </w:pPr>
            <w:r>
              <w:rPr/>
              <w:t>Lockheed Martin Corporation Master Retirement Trust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2,308,892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0.9</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20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127" w:type="dxa"/>
            <w:tcBorders/>
            <w:shd w:fill="CCEEFF" w:val="clear"/>
            <w:tcMar>
              <w:bottom w:w="0" w:type="dxa"/>
            </w:tcMar>
            <w:vAlign w:val="center"/>
          </w:tcPr>
          <w:p>
            <w:pPr>
              <w:pStyle w:val="TableContents"/>
              <w:bidi w:val="0"/>
              <w:spacing w:before="0" w:after="283"/>
              <w:jc w:val="right"/>
              <w:rPr/>
            </w:pPr>
            <w:r>
              <w:rPr/>
              <w:t>5.1</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625" w:type="dxa"/>
            <w:tcBorders/>
            <w:shd w:fill="CCEEFF" w:val="clear"/>
            <w:tcMar>
              <w:bottom w:w="0" w:type="dxa"/>
            </w:tcMar>
            <w:vAlign w:val="center"/>
          </w:tcPr>
          <w:p>
            <w:pPr>
              <w:pStyle w:val="TableContents"/>
              <w:bidi w:val="0"/>
              <w:spacing w:before="0" w:after="283"/>
              <w:jc w:val="right"/>
              <w:rPr/>
            </w:pPr>
            <w:r>
              <w:rPr/>
              <w:t>*</w:t>
            </w:r>
          </w:p>
        </w:tc>
        <w:tc>
          <w:tcPr>
            <w:tcW w:w="16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20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127"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625" w:type="dxa"/>
            <w:tcBorders/>
            <w:shd w:fill="FFFFFF" w:val="clear"/>
            <w:tcMar>
              <w:bottom w:w="0" w:type="dxa"/>
            </w:tcMar>
            <w:vAlign w:val="center"/>
          </w:tcPr>
          <w:p>
            <w:pPr>
              <w:pStyle w:val="TableContents"/>
              <w:bidi w:val="0"/>
              <w:spacing w:before="0" w:after="283"/>
              <w:jc w:val="right"/>
              <w:rPr/>
            </w:pPr>
            <w:r>
              <w:rPr/>
              <w:t> </w:t>
            </w:r>
          </w:p>
        </w:tc>
        <w:tc>
          <w:tcPr>
            <w:tcW w:w="16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15" w:type="dxa"/>
            <w:tcBorders/>
            <w:shd w:fill="CCEEFF" w:val="clear"/>
            <w:tcMar>
              <w:bottom w:w="0" w:type="dxa"/>
            </w:tcMar>
            <w:vAlign w:val="center"/>
          </w:tcPr>
          <w:p>
            <w:pPr>
              <w:pStyle w:val="TableContents"/>
              <w:bidi w:val="0"/>
              <w:spacing w:before="0" w:after="283"/>
              <w:jc w:val="left"/>
              <w:rPr>
                <w:b/>
              </w:rPr>
            </w:pPr>
            <w:r>
              <w:rPr>
                <w:b/>
              </w:rPr>
              <w:t>Officers and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20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127"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625" w:type="dxa"/>
            <w:tcBorders/>
            <w:shd w:fill="CCEEFF" w:val="clear"/>
            <w:tcMar>
              <w:bottom w:w="0" w:type="dxa"/>
            </w:tcMar>
            <w:vAlign w:val="center"/>
          </w:tcPr>
          <w:p>
            <w:pPr>
              <w:pStyle w:val="TableContents"/>
              <w:bidi w:val="0"/>
              <w:spacing w:before="0" w:after="283"/>
              <w:jc w:val="right"/>
              <w:rPr/>
            </w:pPr>
            <w:r>
              <w:rPr/>
              <w:t> </w:t>
            </w:r>
          </w:p>
        </w:tc>
        <w:tc>
          <w:tcPr>
            <w:tcW w:w="16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15" w:type="dxa"/>
            <w:tcBorders/>
            <w:shd w:fill="FFFFFF" w:val="clear"/>
            <w:tcMar>
              <w:bottom w:w="0" w:type="dxa"/>
            </w:tcMar>
            <w:vAlign w:val="center"/>
          </w:tcPr>
          <w:p>
            <w:pPr>
              <w:pStyle w:val="TableContents"/>
              <w:bidi w:val="0"/>
              <w:spacing w:before="0" w:after="283"/>
              <w:jc w:val="left"/>
              <w:rPr/>
            </w:pPr>
            <w:r>
              <w:rPr/>
              <w:t>Christian Weedbrook</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46,432,704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18.2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20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127" w:type="dxa"/>
            <w:tcBorders/>
            <w:shd w:fill="FFFFFF" w:val="clear"/>
            <w:tcMar>
              <w:bottom w:w="0" w:type="dxa"/>
            </w:tcMar>
            <w:vAlign w:val="center"/>
          </w:tcPr>
          <w:p>
            <w:pPr>
              <w:pStyle w:val="TableContents"/>
              <w:bidi w:val="0"/>
              <w:spacing w:before="0" w:after="283"/>
              <w:jc w:val="right"/>
              <w:rPr/>
            </w:pPr>
            <w:r>
              <w:rPr/>
              <w:t>51.8</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625" w:type="dxa"/>
            <w:tcBorders/>
            <w:shd w:fill="FFFFFF" w:val="clear"/>
            <w:tcMar>
              <w:bottom w:w="0" w:type="dxa"/>
            </w:tcMar>
            <w:vAlign w:val="center"/>
          </w:tcPr>
          <w:p>
            <w:pPr>
              <w:pStyle w:val="TableContents"/>
              <w:bidi w:val="0"/>
              <w:spacing w:before="0" w:after="283"/>
              <w:jc w:val="right"/>
              <w:rPr/>
            </w:pPr>
            <w:r>
              <w:rPr/>
              <w:t>17.9</w:t>
            </w:r>
          </w:p>
        </w:tc>
        <w:tc>
          <w:tcPr>
            <w:tcW w:w="165"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3615" w:type="dxa"/>
            <w:tcBorders/>
            <w:shd w:fill="CCEEFF" w:val="clear"/>
            <w:tcMar>
              <w:bottom w:w="0" w:type="dxa"/>
            </w:tcMar>
            <w:vAlign w:val="center"/>
          </w:tcPr>
          <w:p>
            <w:pPr>
              <w:pStyle w:val="TableContents"/>
              <w:bidi w:val="0"/>
              <w:spacing w:before="0" w:after="283"/>
              <w:jc w:val="left"/>
              <w:rPr/>
            </w:pPr>
            <w:r>
              <w:rPr/>
              <w:t>Rafal Janik</w:t>
            </w:r>
            <w:r>
              <w:rPr>
                <w:position w:val="8"/>
                <w:sz w:val="19"/>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20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127" w:type="dxa"/>
            <w:tcBorders/>
            <w:shd w:fill="CCEEFF" w:val="clear"/>
            <w:tcMar>
              <w:bottom w:w="0" w:type="dxa"/>
            </w:tcMar>
            <w:vAlign w:val="center"/>
          </w:tcPr>
          <w:p>
            <w:pPr>
              <w:pStyle w:val="TableContents"/>
              <w:bidi w:val="0"/>
              <w:spacing w:before="0" w:after="283"/>
              <w:jc w:val="right"/>
              <w:rPr/>
            </w:pPr>
            <w:r>
              <w:rPr/>
              <w:t>5.9</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625" w:type="dxa"/>
            <w:tcBorders/>
            <w:shd w:fill="CCEEFF" w:val="clear"/>
            <w:tcMar>
              <w:bottom w:w="0" w:type="dxa"/>
            </w:tcMar>
            <w:vAlign w:val="center"/>
          </w:tcPr>
          <w:p>
            <w:pPr>
              <w:pStyle w:val="TableContents"/>
              <w:bidi w:val="0"/>
              <w:spacing w:before="0" w:after="283"/>
              <w:jc w:val="right"/>
              <w:rPr/>
            </w:pPr>
            <w:r>
              <w:rPr/>
              <w:t>*</w:t>
            </w:r>
          </w:p>
        </w:tc>
        <w:tc>
          <w:tcPr>
            <w:tcW w:w="16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15" w:type="dxa"/>
            <w:tcBorders/>
            <w:shd w:fill="FFFFFF" w:val="clear"/>
            <w:tcMar>
              <w:bottom w:w="0" w:type="dxa"/>
            </w:tcMar>
            <w:vAlign w:val="center"/>
          </w:tcPr>
          <w:p>
            <w:pPr>
              <w:pStyle w:val="TableContents"/>
              <w:bidi w:val="0"/>
              <w:spacing w:before="0" w:after="283"/>
              <w:jc w:val="left"/>
              <w:rPr/>
            </w:pPr>
            <w:r>
              <w:rPr/>
              <w:t>Rebecca Laramée</w:t>
            </w:r>
            <w:r>
              <w:rPr>
                <w:position w:val="8"/>
                <w:sz w:val="19"/>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20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127" w:type="dxa"/>
            <w:tcBorders/>
            <w:shd w:fill="FFFFFF" w:val="clear"/>
            <w:tcMar>
              <w:bottom w:w="0" w:type="dxa"/>
            </w:tcMar>
            <w:vAlign w:val="center"/>
          </w:tcPr>
          <w:p>
            <w:pPr>
              <w:pStyle w:val="TableContents"/>
              <w:bidi w:val="0"/>
              <w:spacing w:before="0" w:after="283"/>
              <w:jc w:val="right"/>
              <w:rPr/>
            </w:pPr>
            <w:r>
              <w:rPr/>
              <w:t>2.0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625" w:type="dxa"/>
            <w:tcBorders/>
            <w:shd w:fill="FFFFFF" w:val="clear"/>
            <w:tcMar>
              <w:bottom w:w="0" w:type="dxa"/>
            </w:tcMar>
            <w:vAlign w:val="center"/>
          </w:tcPr>
          <w:p>
            <w:pPr>
              <w:pStyle w:val="TableContents"/>
              <w:bidi w:val="0"/>
              <w:spacing w:before="0" w:after="283"/>
              <w:jc w:val="right"/>
              <w:rPr/>
            </w:pPr>
            <w:r>
              <w:rPr/>
              <w:t>*</w:t>
            </w:r>
          </w:p>
        </w:tc>
        <w:tc>
          <w:tcPr>
            <w:tcW w:w="16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15" w:type="dxa"/>
            <w:tcBorders/>
            <w:shd w:fill="CCEEFF" w:val="clear"/>
            <w:tcMar>
              <w:bottom w:w="0" w:type="dxa"/>
            </w:tcMar>
            <w:vAlign w:val="center"/>
          </w:tcPr>
          <w:p>
            <w:pPr>
              <w:pStyle w:val="TableContents"/>
              <w:bidi w:val="0"/>
              <w:spacing w:before="0" w:after="283"/>
              <w:jc w:val="left"/>
              <w:rPr/>
            </w:pPr>
            <w:r>
              <w:rPr/>
              <w:t>Michael Trzupek</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20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127"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625" w:type="dxa"/>
            <w:tcBorders/>
            <w:shd w:fill="CCEEFF" w:val="clear"/>
            <w:tcMar>
              <w:bottom w:w="0" w:type="dxa"/>
            </w:tcMar>
            <w:vAlign w:val="center"/>
          </w:tcPr>
          <w:p>
            <w:pPr>
              <w:pStyle w:val="TableContents"/>
              <w:bidi w:val="0"/>
              <w:spacing w:before="0" w:after="283"/>
              <w:jc w:val="right"/>
              <w:rPr/>
            </w:pPr>
            <w:r>
              <w:rPr/>
              <w:t>*</w:t>
            </w:r>
          </w:p>
        </w:tc>
        <w:tc>
          <w:tcPr>
            <w:tcW w:w="16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15" w:type="dxa"/>
            <w:tcBorders/>
            <w:shd w:fill="FFFFFF" w:val="clear"/>
            <w:tcMar>
              <w:bottom w:w="0" w:type="dxa"/>
            </w:tcMar>
            <w:vAlign w:val="center"/>
          </w:tcPr>
          <w:p>
            <w:pPr>
              <w:pStyle w:val="TableContents"/>
              <w:bidi w:val="0"/>
              <w:spacing w:before="0" w:after="283"/>
              <w:jc w:val="left"/>
              <w:rPr/>
            </w:pPr>
            <w:r>
              <w:rPr/>
              <w:t>Natalie Wilmore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20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127"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625" w:type="dxa"/>
            <w:tcBorders/>
            <w:shd w:fill="FFFFFF" w:val="clear"/>
            <w:tcMar>
              <w:bottom w:w="0" w:type="dxa"/>
            </w:tcMar>
            <w:vAlign w:val="center"/>
          </w:tcPr>
          <w:p>
            <w:pPr>
              <w:pStyle w:val="TableContents"/>
              <w:bidi w:val="0"/>
              <w:spacing w:before="0" w:after="283"/>
              <w:jc w:val="right"/>
              <w:rPr/>
            </w:pPr>
            <w:r>
              <w:rPr/>
              <w:t>*</w:t>
            </w:r>
          </w:p>
        </w:tc>
        <w:tc>
          <w:tcPr>
            <w:tcW w:w="16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15" w:type="dxa"/>
            <w:tcBorders/>
            <w:shd w:fill="CCEEFF" w:val="clear"/>
            <w:tcMar>
              <w:bottom w:w="0" w:type="dxa"/>
            </w:tcMar>
            <w:vAlign w:val="center"/>
          </w:tcPr>
          <w:p>
            <w:pPr>
              <w:pStyle w:val="TableContents"/>
              <w:bidi w:val="0"/>
              <w:spacing w:before="0" w:after="283"/>
              <w:jc w:val="left"/>
              <w:rPr/>
            </w:pPr>
            <w:r>
              <w:rPr/>
              <w:t>William (Bill) I. Fradin</w:t>
            </w:r>
            <w:r>
              <w:rPr>
                <w:position w:val="8"/>
                <w:sz w:val="19"/>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207" w:type="dxa"/>
            <w:tcBorders/>
            <w:shd w:fill="CCEEFF" w:val="clear"/>
            <w:tcMar>
              <w:bottom w:w="0" w:type="dxa"/>
            </w:tcMar>
            <w:vAlign w:val="center"/>
          </w:tcPr>
          <w:p>
            <w:pPr>
              <w:pStyle w:val="TableContents"/>
              <w:bidi w:val="0"/>
              <w:spacing w:before="0" w:after="283"/>
              <w:jc w:val="right"/>
              <w:rPr/>
            </w:pPr>
            <w:r>
              <w:rPr/>
              <w:t>7,895,333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127" w:type="dxa"/>
            <w:tcBorders/>
            <w:shd w:fill="CCEEFF" w:val="clear"/>
            <w:tcMar>
              <w:bottom w:w="0" w:type="dxa"/>
            </w:tcMar>
            <w:vAlign w:val="center"/>
          </w:tcPr>
          <w:p>
            <w:pPr>
              <w:pStyle w:val="TableContents"/>
              <w:bidi w:val="0"/>
              <w:spacing w:before="0" w:after="283"/>
              <w:jc w:val="right"/>
              <w:rPr/>
            </w:pPr>
            <w:r>
              <w:rPr/>
              <w:t>15.4</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625" w:type="dxa"/>
            <w:tcBorders/>
            <w:shd w:fill="CCEEFF" w:val="clear"/>
            <w:tcMar>
              <w:bottom w:w="0" w:type="dxa"/>
            </w:tcMar>
            <w:vAlign w:val="center"/>
          </w:tcPr>
          <w:p>
            <w:pPr>
              <w:pStyle w:val="TableContents"/>
              <w:bidi w:val="0"/>
              <w:spacing w:before="0" w:after="283"/>
              <w:jc w:val="right"/>
              <w:rPr/>
            </w:pPr>
            <w:r>
              <w:rPr/>
              <w:t>*</w:t>
            </w:r>
          </w:p>
        </w:tc>
        <w:tc>
          <w:tcPr>
            <w:tcW w:w="16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15" w:type="dxa"/>
            <w:tcBorders/>
            <w:shd w:fill="FFFFFF" w:val="clear"/>
            <w:tcMar>
              <w:bottom w:w="0" w:type="dxa"/>
            </w:tcMar>
            <w:vAlign w:val="center"/>
          </w:tcPr>
          <w:p>
            <w:pPr>
              <w:pStyle w:val="TableContents"/>
              <w:bidi w:val="0"/>
              <w:spacing w:before="0" w:after="283"/>
              <w:jc w:val="left"/>
              <w:rPr/>
            </w:pPr>
            <w:r>
              <w:rPr/>
              <w:t>Eliot Pence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20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127"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625" w:type="dxa"/>
            <w:tcBorders/>
            <w:shd w:fill="FFFFFF" w:val="clear"/>
            <w:tcMar>
              <w:bottom w:w="0" w:type="dxa"/>
            </w:tcMar>
            <w:vAlign w:val="center"/>
          </w:tcPr>
          <w:p>
            <w:pPr>
              <w:pStyle w:val="TableContents"/>
              <w:bidi w:val="0"/>
              <w:spacing w:before="0" w:after="283"/>
              <w:jc w:val="right"/>
              <w:rPr/>
            </w:pPr>
            <w:r>
              <w:rPr/>
              <w:t>*</w:t>
            </w:r>
          </w:p>
        </w:tc>
        <w:tc>
          <w:tcPr>
            <w:tcW w:w="16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15" w:type="dxa"/>
            <w:tcBorders/>
            <w:shd w:fill="CCEEFF" w:val="clear"/>
            <w:tcMar>
              <w:bottom w:w="0" w:type="dxa"/>
            </w:tcMar>
            <w:vAlign w:val="center"/>
          </w:tcPr>
          <w:p>
            <w:pPr>
              <w:pStyle w:val="TableContents"/>
              <w:bidi w:val="0"/>
              <w:spacing w:before="0" w:after="283"/>
              <w:jc w:val="left"/>
              <w:rPr/>
            </w:pPr>
            <w:r>
              <w:rPr/>
              <w:t>Michelle Reynolds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20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127"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625" w:type="dxa"/>
            <w:tcBorders/>
            <w:shd w:fill="CCEEFF" w:val="clear"/>
            <w:tcMar>
              <w:bottom w:w="0" w:type="dxa"/>
            </w:tcMar>
            <w:vAlign w:val="center"/>
          </w:tcPr>
          <w:p>
            <w:pPr>
              <w:pStyle w:val="TableContents"/>
              <w:bidi w:val="0"/>
              <w:spacing w:before="0" w:after="283"/>
              <w:jc w:val="right"/>
              <w:rPr/>
            </w:pPr>
            <w:r>
              <w:rPr/>
              <w:t>*</w:t>
            </w:r>
          </w:p>
        </w:tc>
        <w:tc>
          <w:tcPr>
            <w:tcW w:w="16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15" w:type="dxa"/>
            <w:tcBorders/>
            <w:shd w:fill="FFFFFF" w:val="clear"/>
            <w:tcMar>
              <w:bottom w:w="0" w:type="dxa"/>
            </w:tcMar>
            <w:vAlign w:val="center"/>
          </w:tcPr>
          <w:p>
            <w:pPr>
              <w:pStyle w:val="TableContents"/>
              <w:bidi w:val="0"/>
              <w:spacing w:before="0" w:after="283"/>
              <w:jc w:val="left"/>
              <w:rPr/>
            </w:pPr>
            <w:r>
              <w:rPr/>
              <w:t>Heidi Shyu</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20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127"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625" w:type="dxa"/>
            <w:tcBorders/>
            <w:shd w:fill="FFFFFF" w:val="clear"/>
            <w:tcMar>
              <w:bottom w:w="0" w:type="dxa"/>
            </w:tcMar>
            <w:vAlign w:val="center"/>
          </w:tcPr>
          <w:p>
            <w:pPr>
              <w:pStyle w:val="TableContents"/>
              <w:bidi w:val="0"/>
              <w:spacing w:before="0" w:after="283"/>
              <w:jc w:val="right"/>
              <w:rPr/>
            </w:pPr>
            <w:r>
              <w:rPr/>
              <w:t>*</w:t>
            </w:r>
          </w:p>
        </w:tc>
        <w:tc>
          <w:tcPr>
            <w:tcW w:w="16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15" w:type="dxa"/>
            <w:tcBorders/>
            <w:shd w:fill="CCEEFF" w:val="clear"/>
            <w:tcMar>
              <w:bottom w:w="0" w:type="dxa"/>
            </w:tcMar>
            <w:vAlign w:val="center"/>
          </w:tcPr>
          <w:p>
            <w:pPr>
              <w:pStyle w:val="TableContents"/>
              <w:bidi w:val="0"/>
              <w:spacing w:before="0" w:after="283"/>
              <w:jc w:val="left"/>
              <w:rPr/>
            </w:pPr>
            <w:r>
              <w:rPr/>
              <w:t>Glenda Dorchak</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20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127"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625" w:type="dxa"/>
            <w:tcBorders/>
            <w:shd w:fill="CCEEFF" w:val="clear"/>
            <w:tcMar>
              <w:bottom w:w="0" w:type="dxa"/>
            </w:tcMar>
            <w:vAlign w:val="center"/>
          </w:tcPr>
          <w:p>
            <w:pPr>
              <w:pStyle w:val="TableContents"/>
              <w:bidi w:val="0"/>
              <w:spacing w:before="0" w:after="283"/>
              <w:jc w:val="right"/>
              <w:rPr/>
            </w:pPr>
            <w:r>
              <w:rPr/>
              <w:t>*</w:t>
            </w:r>
          </w:p>
        </w:tc>
        <w:tc>
          <w:tcPr>
            <w:tcW w:w="16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15" w:type="dxa"/>
            <w:tcBorders/>
            <w:shd w:fill="FFFFFF" w:val="clear"/>
            <w:tcMar>
              <w:bottom w:w="0" w:type="dxa"/>
            </w:tcMar>
            <w:vAlign w:val="center"/>
          </w:tcPr>
          <w:p>
            <w:pPr>
              <w:pStyle w:val="TableContents"/>
              <w:bidi w:val="0"/>
              <w:spacing w:before="0" w:after="283"/>
              <w:jc w:val="left"/>
              <w:rPr>
                <w:b/>
              </w:rPr>
            </w:pPr>
            <w:r>
              <w:rPr>
                <w:b/>
              </w:rPr>
              <w:t>Total Officers and Directors (10)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20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127"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625" w:type="dxa"/>
            <w:tcBorders/>
            <w:shd w:fill="FFFFFF" w:val="clear"/>
            <w:tcMar>
              <w:bottom w:w="0" w:type="dxa"/>
            </w:tcMar>
            <w:vAlign w:val="center"/>
          </w:tcPr>
          <w:p>
            <w:pPr>
              <w:pStyle w:val="TableContents"/>
              <w:bidi w:val="0"/>
              <w:spacing w:before="0" w:after="283"/>
              <w:jc w:val="righ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tbl>
      <w:tblPr>
        <w:tblW w:w="1525" w:type="dxa"/>
        <w:jc w:val="left"/>
        <w:tblInd w:w="0" w:type="dxa"/>
        <w:tblLayout w:type="fixed"/>
        <w:tblCellMar>
          <w:top w:w="0" w:type="dxa"/>
          <w:left w:w="0" w:type="dxa"/>
          <w:bottom w:w="0" w:type="dxa"/>
          <w:right w:w="0" w:type="dxa"/>
        </w:tblCellMar>
      </w:tblPr>
      <w:tblGrid>
        <w:gridCol w:w="155"/>
        <w:gridCol w:w="1370"/>
      </w:tblGrid>
      <w:tr>
        <w:trPr/>
        <w:tc>
          <w:tcPr>
            <w:tcW w:w="155"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283"/>
              <w:jc w:val="both"/>
              <w:rPr/>
            </w:pPr>
            <w:r>
              <w:rPr/>
              <w:t>Less than 1%.</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(1)</w:t>
            </w:r>
          </w:p>
        </w:tc>
        <w:tc>
          <w:tcPr>
            <w:tcW w:w="9962" w:type="dxa"/>
            <w:tcBorders/>
            <w:vAlign w:val="center"/>
          </w:tcPr>
          <w:p>
            <w:pPr>
              <w:pStyle w:val="TableContents"/>
              <w:bidi w:val="0"/>
              <w:spacing w:before="0" w:after="283"/>
              <w:jc w:val="both"/>
              <w:rPr/>
            </w:pPr>
            <w:r>
              <w:rPr/>
              <w:t>Consists of (i) 3,106,909 Class A Multiple Voting Shares held by OMERS Ventures LP (“OMERS I”), (ii) 36,639,606 Class A Multiple Voting Shares held by OMERS Ventures III, LP (“OMERS III”), and (iii) 500,000 Class B Subordinate Voting Shares issued to OMERS I. OMERS Ventures Management Inc. is the general partner of OMERS I and OMERS III. The address for each of these entities is c/o OMERS Ventures Management Inc., 900-100 Adelaide Street West, Toronto, Ontario, M5H 0E2, Canada.</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154</w:t>
      </w:r>
    </w:p>
    <w:p>
      <w:pPr>
        <w:pStyle w:val="TextBody"/>
        <w:bidi w:val="0"/>
        <w:spacing w:before="0" w:after="0"/>
        <w:jc w:val="center"/>
        <w:rPr/>
      </w:pPr>
      <w:r>
        <w:rPr/>
        <w:t> </w:t>
      </w:r>
    </w:p>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(2)</w:t>
            </w:r>
          </w:p>
        </w:tc>
        <w:tc>
          <w:tcPr>
            <w:tcW w:w="9967" w:type="dxa"/>
            <w:tcBorders/>
            <w:vAlign w:val="center"/>
          </w:tcPr>
          <w:p>
            <w:pPr>
              <w:pStyle w:val="TableContents"/>
              <w:bidi w:val="0"/>
              <w:spacing w:before="0" w:after="283"/>
              <w:jc w:val="both"/>
              <w:rPr/>
            </w:pPr>
            <w:r>
              <w:rPr/>
              <w:t>This information is based on the information reported on the Schedule 13D filed by the Georgian Funds (as defined below) on April 8, 2026. Consists of (i) 1,471,055 Class A Multiple Voting Shares held by Georgian Fund IV X Invest LP (“Georgian X”), (ii) 18,103,009 Class A Multiple Voting Shares and 129,108 Class B Subordinate Voting Shares held by Georgian Partners Growth Fund (International) IV, LP (“Georgian International IV”) and (iii) 9,940,090 Class A Multiple Voting Shares and 70,892 Class B Subordinate Voting Shares held by Georgian Partners Growth Fund IV, LP (“Georgian IV,” and together with Georgian X and Georgian International IV, the “Georgian Funds”). The address for each of these entities is 2 St. Clair Ave West, Suite 1400, Toronto, Ontario, M4V 1L5, Canada.</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(3)</w:t>
            </w:r>
          </w:p>
        </w:tc>
        <w:tc>
          <w:tcPr>
            <w:tcW w:w="9971" w:type="dxa"/>
            <w:tcBorders/>
            <w:vAlign w:val="center"/>
          </w:tcPr>
          <w:p>
            <w:pPr>
              <w:pStyle w:val="TableContents"/>
              <w:bidi w:val="0"/>
              <w:spacing w:before="0" w:after="283"/>
              <w:jc w:val="both"/>
              <w:rPr/>
            </w:pPr>
            <w:r>
              <w:rPr/>
              <w:t>Consists of (i) 13,682,497 Class A Multiple Voting Shares held by Bessemer Venture Partners XI Institutional L.P. (“Bessemer XI Institutional”), (ii) 9,102,659 Class A Multiple Voting Shares held by Bessemer Venture Partners XI L.P. (“Bessemer XI” and together with Bessemer XI Institutional, the “BVP Funds”), and (iii) 90,075 and 59,925 Class B Subordinate Voting Shares issued to Bessemer XI Institutional and Bessemer XI, respectively. Deer XI &amp; Co. L.P. (“Deer XI L.P.”) is the general partner of the BVP Funds. Deer XI &amp; Co. Ltd. (“Deer XI Ltd.”) is the general partner of Deer XI L.P. Robert P. Goodman, David Cowan, Jeremy Levine, Byron Deeter, Adam Fisher, Brian Feinstein, Alex Ferrara, Scott Ring, Sandra Grippo, Kent Bennett, and Stephen Kraus are the directors of Deer XI Ltd. and hold the voting and dispositive power for the BVP Funds. Investment and voting decisions with respect to the securities held by the BVP Funds are made by the directors of Deer XI Ltd. acting as an investment committee. David Cowan in his capacity of director of Old Xanadu disclaims beneficial ownership of the reported shares held by the BVP Funds except to the extent of their pecuniary interest, if any, in such securities through an indirect interest in the BVP Funds. The address for each of these entities is c/o Bessemer Venture Partners, 1865 Palmer Avenue, Suite 104, Larchmont, New York 10538.</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(4)</w:t>
            </w:r>
          </w:p>
        </w:tc>
        <w:tc>
          <w:tcPr>
            <w:tcW w:w="9963" w:type="dxa"/>
            <w:tcBorders/>
            <w:vAlign w:val="center"/>
          </w:tcPr>
          <w:p>
            <w:pPr>
              <w:pStyle w:val="TableContents"/>
              <w:bidi w:val="0"/>
              <w:spacing w:before="0" w:after="283"/>
              <w:jc w:val="both"/>
              <w:rPr/>
            </w:pPr>
            <w:r>
              <w:rPr/>
              <w:t>Consists of (i) 1,930,065 Class A Multiple Voting Shares held by Radical Ventures Fund II (International), L.P. (“Radical International”) and (ii) 9,968,423 Class A Multiple Voting Shares held by Radical Ventures Fund II, L.P. (“Radical”). Radical Ventures II GP Inc. (“Radical GP”) is the general partner of Radical International and Radical Fund II. Jordan Mark Jacobs controls Radical GP. The address for each of these entities and individuals is c/o 100 King Street West, 1 First Canadian Place, Suite 6200, P.O. Box 50, Toronto, Ontario, M5X 1B8, Canada.</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(5)</w:t>
            </w:r>
          </w:p>
        </w:tc>
        <w:tc>
          <w:tcPr>
            <w:tcW w:w="9962" w:type="dxa"/>
            <w:tcBorders/>
            <w:vAlign w:val="center"/>
          </w:tcPr>
          <w:p>
            <w:pPr>
              <w:pStyle w:val="TableContents"/>
              <w:bidi w:val="0"/>
              <w:spacing w:before="0" w:after="283"/>
              <w:jc w:val="both"/>
              <w:rPr/>
            </w:pPr>
            <w:r>
              <w:rPr/>
              <w:t>Crane Harbor Sponsor, LLC (the “Sponsor”) is the record holder of such shares. William Fradin, the Sponsor’s Chief Executive Officer, is the managing member of Sponsor and holds voting and investment discretion with respect to the Shares held of record by the Sponsor. Mr. Fradin disclaims any beneficial ownership of the securities held by the Sponsor other than to the extent of any pecuniary interest he may have therein, directly or indirectly. The address of Sponsor is 1845 Walnut Street, Suite 1111, Philadelphia, Pennsylvania, 19103.</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(6)</w:t>
            </w:r>
          </w:p>
        </w:tc>
        <w:tc>
          <w:tcPr>
            <w:tcW w:w="9940" w:type="dxa"/>
            <w:tcBorders/>
            <w:vAlign w:val="center"/>
          </w:tcPr>
          <w:p>
            <w:pPr>
              <w:pStyle w:val="TableContents"/>
              <w:bidi w:val="0"/>
              <w:spacing w:before="0" w:after="283"/>
              <w:jc w:val="both"/>
              <w:rPr/>
            </w:pPr>
            <w:r>
              <w:rPr/>
              <w:t>Consists of 2,737,808 Class B Subordinate Voting Shares issuable upon exercise of options held by Mr. Janik for which the time-based vesting condition would be satisfied within 60 days of March 26, 2026.</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(7)</w:t>
            </w:r>
          </w:p>
        </w:tc>
        <w:tc>
          <w:tcPr>
            <w:tcW w:w="9940" w:type="dxa"/>
            <w:tcBorders/>
            <w:vAlign w:val="center"/>
          </w:tcPr>
          <w:p>
            <w:pPr>
              <w:pStyle w:val="TableContents"/>
              <w:bidi w:val="0"/>
              <w:spacing w:before="0" w:after="283"/>
              <w:jc w:val="both"/>
              <w:rPr/>
            </w:pPr>
            <w:r>
              <w:rPr/>
              <w:t>Consists of 869,317 Class B Subordinate Voting Shares issuable upon exercise of options held by Ms. Laramée for which the time-based vesting condition would be satisfied within 60 days of March 26, 2026.</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(8)</w:t>
            </w:r>
          </w:p>
        </w:tc>
        <w:tc>
          <w:tcPr>
            <w:tcW w:w="9927" w:type="dxa"/>
            <w:tcBorders/>
            <w:vAlign w:val="center"/>
          </w:tcPr>
          <w:p>
            <w:pPr>
              <w:pStyle w:val="TableContents"/>
              <w:bidi w:val="0"/>
              <w:spacing w:before="0" w:after="283"/>
              <w:jc w:val="both"/>
              <w:rPr/>
            </w:pPr>
            <w:r>
              <w:rPr/>
              <w:t>Holdings of 7,895,333 Class B Subordinate Voting Shares includes (i) the shares listed in footnote (5) and (ii) 100,000 Class B Subordinate Voting Shares.</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155</w:t>
      </w:r>
    </w:p>
    <w:p>
      <w:pPr>
        <w:pStyle w:val="TextBody"/>
        <w:bidi w:val="0"/>
        <w:spacing w:before="0" w:after="0"/>
        <w:jc w:val="center"/>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5" w:name="a_024"/>
      <w:bookmarkEnd w:id="25"/>
      <w:r>
        <w:rPr>
          <w:rFonts w:ascii="Times New Roman;Times;Serif" w:hAnsi="Times New Roman;Times;Serif"/>
          <w:b/>
          <w:i w:val="false"/>
          <w:caps/>
          <w:sz w:val="20"/>
        </w:rPr>
        <w:t>SHARES ELIGIBLE FOR FUTURE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Rule 144 of the Securities Act (“Rule 144”) permits the resale of restricted securities without registration under the Securities Act if certain conditions are met. Rule 144 is not available for the resale of restricted securities initially issued by shell companies (other than business combination-related shell companies) or issuers that have been at any time previously a shell company, including us. However, Rule 144 also includes an important exception to this prohibition if the following conditions are met at the time of such resale:</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88"/>
        <w:gridCol w:w="9975"/>
      </w:tblGrid>
      <w:tr>
        <w:trPr/>
        <w:tc>
          <w:tcPr>
            <w:tcW w:w="4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pPr>
            <w:r>
              <w:rPr/>
              <w:t>the issuer of the securities that was formerly a shell company has ceased to be a shell company;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issuer of the securities is subject to the reporting requirements of Section 13 or 15(d) of the Exchange Act;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issuer of the securities has filed all Exchange Act reports and materials required to be filed, as applicable, during the preceding twelve months (or such shorter period as the issuer was required to file such reports and materials), other than Form 8-K reports;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at least one year has elapsed from the time that the issuer filed current Form 10 type information with the SEC reflecting its status as an entity that is not a shell company.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Class B Subordinate Voting Shares received by CHAC Shareholders in the Business Combination are freely tradable, except that Class B Subordinate Voting Shares received in the Business Combination by persons who are affiliates of ours for purposes of Rule 144 under the Securities Act may be resold by them only in transactions permitted by Rule 144, or as otherwise permitted under the Securities Act. Persons who may be deemed our affiliates generally include individuals or entities that control, are controlled by or are under common control with, us and may include our directors and executive officers as well as our principal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above conditions have been met and Rule 144 is available, a person that has beneficially owned restricted Class B Subordinate Voting Shares or CHAC Class A Shares for at least one year would be entitled to sell their securities pursuant to Rule 144, provided that such person is not deemed to have been one of CHAC’s affiliates at the time of, or at any time during the three months preceding, a sale. If such persons are CHAC’s affiliates at the time of, or at any time during the three months preceding a sale, such persons would be subject to additional restrictions, by which such person would be entitled to sell within any three-month period only a number of securities that does not exceed the greater of:</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50"/>
        <w:gridCol w:w="9900"/>
      </w:tblGrid>
      <w:tr>
        <w:trPr/>
        <w:tc>
          <w:tcPr>
            <w:tcW w:w="5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1% of the total number of shares of common stock then outstanding; 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average weekly reported trading volume of the common stock during the four calendar weeks preceding the filing of a notice on Form 144 with respect to the sale.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by affiliates under Rule 144, when available, will also be limited by manner of sale provisions and notice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all 4,771,605 shares sold in the CHAC IPO were exchanged for Class B Subordinate Voting Shares in connection with the Business Combination and are freely tradable without restriction or further registration under the Securities Act. All of the 7,333,333 Founder Shares and 462,000 CHAC Private Placement Shares were exchanged for Class B Subordinate Voting Shares in connection with the Business Combination and are restricted securities under Rule 144, in that they were issued in private transactions not involving a public offering. The remaining Class B Subordinate Voting Shares are subject to the lock-up restrictions described in the section titled “Lock-Up Agreements and Market Standoff Agreements” below and are restricted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Rule 144 to be available for the resale of the above-noted restricted securities as long as the conditions set forth in the exceptions listed above are satisfied, although such restricted securities may be sold sooner to the extent they have been registered on a registration statement that has been declared effective by the SEC.</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156</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Agreements and Market Standoff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Business Combination Agreement, the Sponsor, as the holder of all issued and outstanding CHAC Class B Shares, entered into the Sponsor Letter Agreement pursuant to which the Sponsor agreed, among other things, to subject 1,100,000 CHAC Class B Shares (the “Lock-up Securities”) to post-Closing vesting/forfeiture conditions. All 1,100,000 Lock-up Securities have vested: (i) 550,000 Lock-up Securities vested as the closing share price of our Class B Subordinate Voting Shares equaled or exceeded $12.50 for 20 trading days within a 30 consecutive trading day period during the four-year period following Closing (the “Vesting Term”), and (ii) the remaining 550,000 Lock-up Securities vested as the closing share price of our Class B Subordinate Voting Shares equaled or exceeded US$15.00 for 20 trading days within a 30 consecutive trading day period during the Vesting Term. The remaining CHAC Class B Shares continue to be subject to the lock-up provisions in the sponsor letter agreement entered into in connection with CHAC’s IPO.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restrictions described above, (i) holders of Old Xanadu Common Shares (including any Old Xanadu Common Shares issued upon the exercise of options granted pursuant to any Old Xanadu equity incentive plan) are party to a right of first refusal and co-sale agreement with Old Xanadu, and (ii) investors holding Old Xanadu Preferred Shares are party to an investors’ rights agreement with Old Xanadu. Pursuant to these agreements, all holders of Old Xanadu Common Shares (including holders of our Class B Subordinate Voting Shares and holders of our Class A Multiple Voting Shares issued upon the exchange of Old Xanadu Common Shares in connection with the Business Combination, as applicable) and all holders of Old Xanadu Preferred Shares (including holders of our Class A Multiple Voting Shares issued upon the exchange of Old Xanadu Preferred Shares in connection with the Business Combination) are subject to customary market standoff provisions that restrict such holders’ ability to lend, offer, pledge, sell, transfer or otherwise dispose of shares for a period following the Closing Date of up to 180 days, as provided therein, subject to customary exceptions and any earlier waiver or termination in accordance with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Resale Under Canadian Securities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B Subordinate Voting Shares issued to CHAC Public Shareholders in connection with the Business Combination may be resold in each of the provinces and territories of Canada, provided that: (i) we are and have been a reporting issuer in a jurisdiction of Canada for the four months immediately preceding the trade (which seasoning period commenced on March 25, 2026 upon our becoming a reporting issuer by obtaining a receipt for our final non-offering prospectus in Ontario); (ii) the trade is not a “control distribution” (as defined in NI 45-102); (iii) no unusual effort is made to prepare the market or create a demand for our Class B Subordinate Voting Shares; (iv) no extraordinary commission or consideration is paid to a person or company in respect of the trade; and (v) if the Selling Securityholder is an insider or officer (as defined under applicable Canadian securities legislation) of ours, the insider or officer has no reasonable grounds to believe that we are in default of applicable Canadian securities legislation. Our Class B Subordinate Voting Shares issued to PIPE Investors in connection with the PIPE Financing may be resold in the United States pursuant to the registration statement effective May 1, 2026 and may be resold in each of the provinces and territories of Canada upon the expiry of the applicable hold period on July 27,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our Shares is urged to consult the holder’s professional advisors with respect to applicable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Investor and Registration Rights Agreement, we agreed that, within 30 calendar days after the Closing, we would file with the SEC (at our sole cost and expense) the Resale Shelf Registration Statement (as defined in the Investor and Registration Rights Agreement), and we have used and continue to use our commercially reasonable efforts to cause the Resale Shelf Registration Statement to become effective by the SEC as soon as reasonably practicable after the initial filing thereof. In certain circumstances, the Holders may demand our assistance with underwritten offerings and block trades. The Holders are entitled to customary piggyback registration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157</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6" w:name="a_025"/>
      <w:bookmarkEnd w:id="26"/>
      <w:r>
        <w:rPr>
          <w:rFonts w:ascii="Times New Roman;Times;Serif" w:hAnsi="Times New Roman;Times;Serif"/>
          <w:b/>
          <w:i w:val="false"/>
          <w:caps/>
          <w:sz w:val="20"/>
        </w:rPr>
        <w:t>SELLING SECURITYHOLDERS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by the Selling Securityholders from time to time of up to 30,100,000 Class B Subordinate Voting Shares, consisting of: (i) up to 30,000,000 Class B Subordinate Voting Shares that may be issued by us to Yorkville under the SEPA; and (ii) up to 100,000 Class B Subordinate Voting Shares held by Cohen. We will not receive any proceeds from the sale of Class B Subordinate Voting Shares by the Selling Securityholders pursuant to this prospectus. As used in this prospectus, the term “Selling Securityholders” refers to Yorkville and Cohen, together with their respective pledgees, donees, transferees, assignees, successors, designees and others who later come to hold any of the Selling Securityholders’ interests in the Class B Subordinate Voting Shares other than through a public sale.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the footnotes below, the following table sets forth, based on information supplied to us by the Selling Securityholders, certain information as of May 14, 2026, regarding the beneficial ownership of our Class B Subordinate Voting Shares by the Selling Securityholders and the Class B Subordinate Voting Shares being offered by the Selling Securityholders. The applicable percentage ownership of Class B Subordinate Voting Shares is based on approximately 255,226,928 Class A Multiple Voting Shares and 43,284,411 Class B Subordinate Voting Shares (totaling 298,511,339 Shares) issued and outstanding as of May 14,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Class B Subordinate Voting Shares owned beneficially after the offering assumes the sale of all of the Class B Subordinate Voting Shares registered hereby. The Selling Securityholders may offer and sell some, all or none of their Class B Subordinate Voting Shares. We do not know how long the Selling Securityholders will hold the Class B Subordinate Voting Shares before selling them, and we are not aware of any existing arrangements between the Selling Securityholders and any other stockholder, broker, dealer, underwriter or agent relating to the sale or distribution of our Class B Subordinate Voting Shares being offered for resale by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determined beneficial ownership in accordance with the rules of the SEC, which generally provide that a person has beneficial ownership of a security if he, she or it possesses sole or shared voting or investment power over that security or the right to acquire such power within 60 days (including through the conversion of Class A Multiple Voting Shares). Except as indicated by the footnotes below, we believe, based on the information furnished to us, that each of Yorkville and Cohen has sole voting and investment power with respect to all Class B Subordinate Voting Shares that it beneficially owns, subject to applicable community property laws. Except as otherwise described below, based on the information provided to us by the Selling Securityholders, no Selling Securityholder is a broker-dealer or an affiliate of a broker-dealer.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the section titled “Plan of Distribution” for further information regarding the Selling Securityholders’ method of distributing these shares.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17"/>
        <w:gridCol w:w="60"/>
        <w:gridCol w:w="2922"/>
        <w:gridCol w:w="73"/>
        <w:gridCol w:w="84"/>
        <w:gridCol w:w="1553"/>
        <w:gridCol w:w="73"/>
        <w:gridCol w:w="73"/>
        <w:gridCol w:w="338"/>
        <w:gridCol w:w="1467"/>
        <w:gridCol w:w="73"/>
        <w:gridCol w:w="73"/>
        <w:gridCol w:w="243"/>
        <w:gridCol w:w="1057"/>
        <w:gridCol w:w="99"/>
      </w:tblGrid>
      <w:tr>
        <w:trPr/>
        <w:tc>
          <w:tcPr>
            <w:tcW w:w="20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28" w:type="dxa"/>
            <w:gridSpan w:val="13"/>
            <w:tcBorders>
              <w:bottom w:val="single" w:sz="12" w:space="0" w:color="000000"/>
            </w:tcBorders>
            <w:tcMar>
              <w:bottom w:w="28" w:type="dxa"/>
            </w:tcMar>
            <w:vAlign w:val="center"/>
          </w:tcPr>
          <w:p>
            <w:pPr>
              <w:pStyle w:val="TableContents"/>
              <w:bidi w:val="0"/>
              <w:spacing w:before="0" w:after="283"/>
              <w:jc w:val="center"/>
              <w:rPr>
                <w:b/>
              </w:rPr>
            </w:pPr>
            <w:r>
              <w:rPr>
                <w:b/>
              </w:rPr>
              <w:t>Class B Subordinate Voting Shares (including Class B Subordinate Voting Shares Issuable Upon the Conversion of Class A Multiple Voting Shares)</w:t>
            </w:r>
          </w:p>
        </w:tc>
      </w:tr>
      <w:tr>
        <w:trPr/>
        <w:tc>
          <w:tcPr>
            <w:tcW w:w="2017" w:type="dxa"/>
            <w:tcBorders>
              <w:bottom w:val="single" w:sz="12" w:space="0" w:color="000000"/>
            </w:tcBorders>
            <w:tcMar>
              <w:bottom w:w="28" w:type="dxa"/>
            </w:tcMar>
            <w:vAlign w:val="center"/>
          </w:tcPr>
          <w:p>
            <w:pPr>
              <w:pStyle w:val="TableContents"/>
              <w:bidi w:val="0"/>
              <w:spacing w:before="0" w:after="283"/>
              <w:jc w:val="left"/>
              <w:rPr>
                <w:b/>
              </w:rPr>
            </w:pPr>
            <w:r>
              <w:rPr>
                <w:b/>
              </w:rPr>
              <w:t>Name of Selling Securityholders</w:t>
            </w:r>
          </w:p>
        </w:tc>
        <w:tc>
          <w:tcPr>
            <w:tcW w:w="60" w:type="dxa"/>
            <w:tcBorders/>
            <w:vAlign w:val="center"/>
          </w:tcPr>
          <w:p>
            <w:pPr>
              <w:pStyle w:val="TableContents"/>
              <w:bidi w:val="0"/>
              <w:spacing w:before="0" w:after="283"/>
              <w:jc w:val="left"/>
              <w:rPr/>
            </w:pPr>
            <w:r>
              <w:rPr/>
              <w:t> </w:t>
            </w:r>
          </w:p>
        </w:tc>
        <w:tc>
          <w:tcPr>
            <w:tcW w:w="2922" w:type="dxa"/>
            <w:tcBorders>
              <w:bottom w:val="single" w:sz="12" w:space="0" w:color="000000"/>
            </w:tcBorders>
            <w:tcMar>
              <w:bottom w:w="28" w:type="dxa"/>
            </w:tcMar>
            <w:vAlign w:val="center"/>
          </w:tcPr>
          <w:p>
            <w:pPr>
              <w:pStyle w:val="TableContents"/>
              <w:bidi w:val="0"/>
              <w:spacing w:before="0" w:after="283"/>
              <w:jc w:val="center"/>
              <w:rPr>
                <w:b/>
              </w:rPr>
            </w:pPr>
            <w:r>
              <w:rPr>
                <w:b/>
              </w:rPr>
              <w:t>Number Beneficially Owned Prior to Offering</w:t>
            </w:r>
          </w:p>
        </w:tc>
        <w:tc>
          <w:tcPr>
            <w:tcW w:w="73" w:type="dxa"/>
            <w:tcBorders/>
            <w:vAlign w:val="center"/>
          </w:tcPr>
          <w:p>
            <w:pPr>
              <w:pStyle w:val="TableContents"/>
              <w:bidi w:val="0"/>
              <w:spacing w:before="0" w:after="283"/>
              <w:jc w:val="left"/>
              <w:rPr/>
            </w:pPr>
            <w:r>
              <w:rPr/>
              <w:t> </w:t>
            </w:r>
          </w:p>
        </w:tc>
        <w:tc>
          <w:tcPr>
            <w:tcW w:w="16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Registered for Sale Hereby</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8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Beneficially Owned After Offering</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 Owned After Offering</w:t>
            </w:r>
          </w:p>
        </w:tc>
        <w:tc>
          <w:tcPr>
            <w:tcW w:w="99" w:type="dxa"/>
            <w:tcBorders/>
            <w:vAlign w:val="center"/>
          </w:tcPr>
          <w:p>
            <w:pPr>
              <w:pStyle w:val="TableContents"/>
              <w:bidi w:val="0"/>
              <w:spacing w:before="0" w:after="283"/>
              <w:ind w:left="0" w:right="0" w:hanging="180"/>
              <w:jc w:val="left"/>
              <w:rPr/>
            </w:pPr>
            <w:r>
              <w:rPr/>
              <w:t> </w:t>
            </w:r>
          </w:p>
        </w:tc>
      </w:tr>
      <w:tr>
        <w:trPr/>
        <w:tc>
          <w:tcPr>
            <w:tcW w:w="2017" w:type="dxa"/>
            <w:tcBorders/>
            <w:shd w:fill="CCEEFF" w:val="clear"/>
            <w:vAlign w:val="center"/>
          </w:tcPr>
          <w:p>
            <w:pPr>
              <w:pStyle w:val="TableContents"/>
              <w:bidi w:val="0"/>
              <w:spacing w:before="0" w:after="283"/>
              <w:jc w:val="left"/>
              <w:rPr/>
            </w:pPr>
            <w:r>
              <w:rPr/>
              <w:t>YA II PN, LTD.</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2922" w:type="dxa"/>
            <w:tcBorders/>
            <w:shd w:fill="CCEEFF" w:val="clear"/>
            <w:vAlign w:val="center"/>
          </w:tcPr>
          <w:p>
            <w:pPr>
              <w:pStyle w:val="TableContents"/>
              <w:bidi w:val="0"/>
              <w:spacing w:before="0" w:after="283"/>
              <w:jc w:val="center"/>
              <w:rPr/>
            </w:pPr>
            <w:r>
              <w:rPr/>
              <w:t>0</w:t>
            </w:r>
          </w:p>
        </w:tc>
        <w:tc>
          <w:tcPr>
            <w:tcW w:w="7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553" w:type="dxa"/>
            <w:tcBorders/>
            <w:shd w:fill="CCEEFF" w:val="clear"/>
            <w:vAlign w:val="center"/>
          </w:tcPr>
          <w:p>
            <w:pPr>
              <w:pStyle w:val="TableContents"/>
              <w:bidi w:val="0"/>
              <w:spacing w:before="0" w:after="283"/>
              <w:jc w:val="right"/>
              <w:rPr/>
            </w:pPr>
            <w:r>
              <w:rPr/>
              <w:t>30,000,000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2017" w:type="dxa"/>
            <w:tcBorders/>
            <w:shd w:fill="FFFFFF" w:val="clear"/>
            <w:vAlign w:val="center"/>
          </w:tcPr>
          <w:p>
            <w:pPr>
              <w:pStyle w:val="TableContents"/>
              <w:bidi w:val="0"/>
              <w:spacing w:before="0" w:after="283"/>
              <w:jc w:val="left"/>
              <w:rPr/>
            </w:pPr>
            <w:r>
              <w:rPr/>
              <w:t>Cohen &amp; Company Securities, LLC</w:t>
            </w:r>
            <w:r>
              <w:rPr>
                <w:position w:val="8"/>
                <w:sz w:val="19"/>
              </w:rPr>
              <w:t>(2)</w:t>
            </w:r>
          </w:p>
        </w:tc>
        <w:tc>
          <w:tcPr>
            <w:tcW w:w="60" w:type="dxa"/>
            <w:tcBorders/>
            <w:shd w:fill="FFFFFF" w:val="clear"/>
            <w:vAlign w:val="center"/>
          </w:tcPr>
          <w:p>
            <w:pPr>
              <w:pStyle w:val="TableContents"/>
              <w:bidi w:val="0"/>
              <w:spacing w:before="0" w:after="283"/>
              <w:jc w:val="left"/>
              <w:rPr/>
            </w:pPr>
            <w:r>
              <w:rPr/>
              <w:t> </w:t>
            </w:r>
          </w:p>
        </w:tc>
        <w:tc>
          <w:tcPr>
            <w:tcW w:w="2922" w:type="dxa"/>
            <w:tcBorders/>
            <w:shd w:fill="FFFFFF" w:val="clear"/>
            <w:vAlign w:val="center"/>
          </w:tcPr>
          <w:p>
            <w:pPr>
              <w:pStyle w:val="TableContents"/>
              <w:bidi w:val="0"/>
              <w:spacing w:before="0" w:after="283"/>
              <w:jc w:val="center"/>
              <w:rPr/>
            </w:pPr>
            <w:r>
              <w:rPr/>
              <w:t>0</w:t>
            </w:r>
          </w:p>
        </w:tc>
        <w:tc>
          <w:tcPr>
            <w:tcW w:w="7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553" w:type="dxa"/>
            <w:tcBorders/>
            <w:shd w:fill="FFFFFF" w:val="clear"/>
            <w:vAlign w:val="center"/>
          </w:tcPr>
          <w:p>
            <w:pPr>
              <w:pStyle w:val="TableContents"/>
              <w:bidi w:val="0"/>
              <w:spacing w:before="0" w:after="283"/>
              <w:jc w:val="right"/>
              <w:rPr/>
            </w:pPr>
            <w:r>
              <w:rPr/>
              <w:t>100,000</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467" w:type="dxa"/>
            <w:tcBorders/>
            <w:shd w:fill="FFFFFF" w:val="clear"/>
            <w:vAlign w:val="center"/>
          </w:tcPr>
          <w:p>
            <w:pPr>
              <w:pStyle w:val="TableContents"/>
              <w:bidi w:val="0"/>
              <w:spacing w:before="0" w:after="283"/>
              <w:jc w:val="right"/>
              <w:rPr/>
            </w:pPr>
            <w:r>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tbl>
      <w:tblPr>
        <w:tblW w:w="1525" w:type="dxa"/>
        <w:jc w:val="left"/>
        <w:tblInd w:w="0" w:type="dxa"/>
        <w:tblLayout w:type="fixed"/>
        <w:tblCellMar>
          <w:top w:w="0" w:type="dxa"/>
          <w:left w:w="0" w:type="dxa"/>
          <w:bottom w:w="0" w:type="dxa"/>
          <w:right w:w="0" w:type="dxa"/>
        </w:tblCellMar>
      </w:tblPr>
      <w:tblGrid>
        <w:gridCol w:w="155"/>
        <w:gridCol w:w="1370"/>
      </w:tblGrid>
      <w:tr>
        <w:trPr/>
        <w:tc>
          <w:tcPr>
            <w:tcW w:w="155"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283"/>
              <w:jc w:val="both"/>
              <w:rPr/>
            </w:pPr>
            <w:r>
              <w:rPr/>
              <w:t>Less than 1%.</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(1)</w:t>
            </w:r>
          </w:p>
        </w:tc>
        <w:tc>
          <w:tcPr>
            <w:tcW w:w="9931" w:type="dxa"/>
            <w:tcBorders/>
            <w:vAlign w:val="center"/>
          </w:tcPr>
          <w:p>
            <w:pPr>
              <w:pStyle w:val="TableContents"/>
              <w:bidi w:val="0"/>
              <w:spacing w:before="0" w:after="283"/>
              <w:jc w:val="both"/>
              <w:rPr/>
            </w:pPr>
            <w:r>
              <w:rPr/>
              <w:t>Investment decisions for YA II PN, Ltd. are made by Mr. Mark Angelo. The business address of YA II PN, Ltd. is 1012 Springfield Avenue, Mountainside, NJ 07092.</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(2)</w:t>
            </w:r>
          </w:p>
        </w:tc>
        <w:tc>
          <w:tcPr>
            <w:tcW w:w="9966" w:type="dxa"/>
            <w:tcBorders/>
            <w:vAlign w:val="center"/>
          </w:tcPr>
          <w:p>
            <w:pPr>
              <w:pStyle w:val="TableContents"/>
              <w:bidi w:val="0"/>
              <w:spacing w:before="0" w:after="283"/>
              <w:jc w:val="both"/>
              <w:rPr/>
            </w:pPr>
            <w:r>
              <w:rPr/>
              <w:t>Jerry Serowik, a Senior Managing Director of Cohen &amp; Company Securities, LLC (“Cohen”), exercises voting and/or dispositive power over the shares held by Cohen. Cohen is a registered broker-dealer and has acted as the lead book-running manager for Crane Harbor’s initial public offering and as a placement agent for the Company in connection with the PIPE Financing. The shares being offered hereby were issued by the Company to Cohen as transaction-based compensation for Cohen’s performance of certain financial advisory services rendered to the Company in connection with the Business Combination. The business address for Cohen is 2929 Arch Street, Suite 1703, Philadelphia, PA 19104.</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158</w:t>
      </w:r>
    </w:p>
    <w:p>
      <w:pPr>
        <w:pStyle w:val="TextBody"/>
        <w:bidi w:val="0"/>
        <w:spacing w:before="0" w:after="0"/>
        <w:jc w:val="center"/>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7" w:name="a_026"/>
      <w:bookmarkEnd w:id="27"/>
      <w:r>
        <w:rPr>
          <w:rFonts w:ascii="Times New Roman;Times;Serif" w:hAnsi="Times New Roman;Times;Serif"/>
          <w:b/>
          <w:i w:val="false"/>
          <w:caps/>
          <w:sz w:val="20"/>
        </w:rPr>
        <w:t>CERTAIN RELATIONSHIPS AND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Procedures for Related Party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upon the Closing, we adopted a related person transactions policy setting forth the policies and procedures for the identification, review and approval or ratification of related person transactions. Subject to requirements of applicable Canadian securities laws, the Audit Committee will have the primary responsibility for reviewing and approving or disapproving transactions with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Crane Harbor Relationship and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Founder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Sponsor paid $25,000 to cover certain offering costs of Crane Harbor in consideration for the Class B ordinary shares, par value $0.0001 per share (the “Crane Harbor Class B Shares”) purchased by the Sponsor in a private placement prior to Crane Harbor’s initial public offering (the “Founder Shares”). From January 2025 through April 2025, Crane Harbor had various share surrender and capitalization events in which a net 625,000 shares were surrendered by the Sponsor to Crane Harbor for no consideration and an aggregate of 7,333,333 Founder Shares remained outstanding. All share and per share amounts have been retroactively adjusted to reflect the share capitalization and share surrender.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agreed, subject to limited exceptions, not to transfer, assign or sell any of the Founder Shares until the earlier to occur of (A) one year after the completion of the initial business combination and (B) subsequent to the initial business combination (x) if the last reported sale price of the Crane Harbor Class A Shares equals or exceeds $12.00 per share (as adjusted for share subdivisions, share dividends, rights issuances, reorganizations, recapitalizations and the like) for any 20 trading days within any 30-trading-day period commencing at least 150 days after the initial business combination or (y) the date on which Crane Harbor completes a liquidation, merger, share exchange, reorganization or other similar transaction that results in all Crane Harbor Public Shareholders having the right to exchange their ordinary shares for cash, securities or other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Placement Units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consummation of Crane Harbor’s initial public offering, Crane Harbor consummated the private placement of the Crane Harbor private units in a private placement transaction at a price of $10.00 per Crane Harbor Private Unit, generating gross proceeds of $6,400,000. The Crane Harbor private units were purchased by the Sponsor (420,000 units) and the underwriters of Crane Harbor’s initial public offering (220,000 units). The Crane Harbor Rights included in the Crane Harbor private units are identical to the Crane Harbor Rights included in the Crane Harbor Public Units except as otherwise described in the Crane Harbor initial public offering registration statement. No underwriting discounts or commissions were paid with respect to such sale. The issuance of the Crane Harbor private units was made pursuant to the exemption from registration contained in Section 4(a)(2) of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Administrative Support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Crane Harbor entered into an agreement, commencing in April 2024, through the earlier of Crane Harbor’s consummation of an initial business combination or its liquidation, to pay an affiliate or designee of the Sponsor a total of $20,000 per month for office space, utilities and shared personnel support services. An aggregate of $0.2 million was paid under this agreement through the consummation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Promissory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7, 2025, Crane Harbor issued a promissory note to the Sponsor, pursuant to which Crane Harbor could borrow up to an aggregate principal amount of $300,000. The note was non-interest bearing and payable on the earlier of (i) June 30, 2025, or (ii) the consummation of Crane Harbor’s initial public offering. Crane Harbor repaid the outstanding balance of the note at the closing of Crane Harbor’s initial public offering. Borrowings under the note are no longer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2025, the Sponsor, Crane Harbor and certain other holders of Crane Harbor’s securities entered into the Registration Rights Agreement which provides for customary terms for a transaction of this type, including piggyback registration rights and demand registration rights, subject to underwriter cutbacks and issuer blackout periods. The Registration Rights Agreement was superseded by the Investor Registration Rights Agreement entered into in connection with the closing of the Business Combination. See “—Certain Related Party Transactions of Old Xanadu—Investor and Registration Rights Agreement” for more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159</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Party Loans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order to fund working capital deficiencies or finance transaction costs in connection with the Business Combination, the Sponsor or an affiliate of the Sponsor committed to making working capital loans to Crane Harbor in an aggregate principal amount of up to $2,500,000. Upon consummation of the Business Combination, such working capital loans were to be repaid out of the proceeds of the Trust Account released to Crane Harbor. As Crane Harbor had not authorized “units,” such working capital loans were repaid in Class B Subordinate Voting Shares at a rate of 1.1 Class B Subordinate Voting Shares for each $10.00 repaid in securities, with any fractional shares rounded down to the nearest whole number. We repaid the borrowings in full at the closing of the Business Combination. Borrowings under such working capital loans are no longer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Advance from Related Party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25, 2025, Crane Harbor received an advance of $700,000 from the Sponsor for working capital. Upon consummation of the Business Combination, such advance was repaid out of the proceeds of the Trust Account released to Crane Harbor.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Sponsor Letter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Business Combination Agreement, the Sponsor entered into the Sponsor Letter Agreement with Crane Harbor, the Company and Old Xanadu. Pursuant to the Sponsor Letter Agreement, the Sponsor agreed, among other things, to (i) appear and vote (or cause to be voted) all Crane Harbor Class B Shares in favor of the Business Combination and against any competing proposal or other action that would reasonably be expected to impede, interfere with or delay the Business Combination; (ii) irrevocably waive any adjustment to the conversion ratio or other anti-dilution or similar protection with respect to the Crane Harbor Class B Shares that would otherwise be triggered by the transactions contemplated by the Business Combination Agreement (including the PIPE Financing); and (iii) subject 1,100,000 Crane Harbor Class B Shares to post-Closing vesting/forfeiture conditions, which have subsequently been met in full as further described in the section titled “Shares Eligible for Future Sale—Lock-Up Agreements and Market Standoff Agreements.” The remaining Crane Harbor Class B Shares continue to be subject to the lock-up provisions in the sponsor letter agreement entered into in connection with Crane Harbor’s initial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Related Party Transactions of Old Xanadu</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January 1, 2025, there has not been, nor is there currently proposed, any material transaction or series of similar material transactions to which Old Xanadu was or is a party in which any of the members of its board of directors or executive officers, holders that beneficially own, or control or direct, directly or indirectly, more than 10% of any class or series of its outstanding voting securities, any associate or affiliate of any of the foregoing persons, or any member of the immediate family of any of the foregoing persons, had or will have a direct or indirect material interest, other than the director and executive officer compensation and indemnification arrangements described elsewhere in this prospectus and the transactions we describe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Receivable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Old Xanadu had paid an aggregate of $1.8 million on behalf of Xanadu, consisting of (i) $1.8 million of deferred transaction costs related to the Business Combination and (ii) $12.0 thousand of audit fees. Such amounts were due and payable by Xanadu to Old Xanadu, are non-interest bearing, due on demand, and are recorded as a related party receivable within accounts receivable on Old Xanadu’s consolidated balance sheet as at December 31, 2025. As of December 31, 2025, the deferred transaction costs described above remained outstanding and had not been repaid.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enter into employment agreements with certain of our executive officers. See the section titled “Executive Compensation— Employment Arrangements, Termination and Change in Control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160</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 Support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Business Combination Agreement, certain shareholders of Old Xanadu entered into transaction support agreements with Crane Harbor, pursuant to which, each such shareholder agreed, among other things, to (i) appear and vote (or cause to be voted), in person, by proxy, by written consent or as otherwise required under Old Xanadu shareholders’ agreements or Old Xanadu’s articles of incorporation, as amended, all of its Old Xanadu common shares, Old Xanadu preferred shares and, if applicable, options and warrants, in favor of the Business Combination and the transactions contemplated by the Business Combination Agreement; (ii) oppose any counter-proposal to acquire Old Xanadu and any action that would reasonably be expected to breach Old Xanadu’s obligations under the Business Combination Agreement; (iii) refrain from transferring or encumbering the covered securities prior to Closing, subject to limited permitted transfers (including to affiliates conditioned on a joinder); and (iv) not exercise dissent rights with respect to the Business Combination, in each case on the terms and subject to the conditions set forth therein. The Transaction Support Agreements included customary covenants and acknowledgments and terminated upon the closing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PIPE Financing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affiliates of OMERS Ventures, Georgian Partners and Bessemer Venture Partners, each of which is a beneficial owner of more than 5% of our outstanding share capital, purchased as PIPE Investors under the PIPE Financing an aggregate of 850,000 Class B Subordinate Voting Shares for a purchase price of $10.00 per share for gross proceeds of $8.5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Christian Weedbrook and certain affiliates of OMERS Ventures, Georgian Partners and Bessemer Venture Partners, along with all other holders of Old Xanadu preferred shares entered into certain shareholder agreements with Old Xanadu that provided certain rights to Old Xanadu shareholders, including certain approval rights, restrictions on transfers, rights of first offer and refusal, tag-along rights, drag-along rights, observer rights and information rights. The shareholder agreements terminated upon consummation of the Business Combination, except for certain provisions, including those addressing restrictions on transfers and confidentiality.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 and Registration Rights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we, the Sponsor, Christian Weedbrook and certain former Old Xanadu and Crane Harbor shareholders, including certain affiliates of OMERS Ventures, Georgian Partners and Bessemer Venture Partners, entered into the Investor and Registration Rights Agreement. Pursuant to the Investor and Registration Rights Agreement, among other things, the parties thereto were granted customary registration rights with respect to their Class B Subordinate Voting Shares and, as applicable, Class A Multiple Voting Shares, including demand, piggyback and shelf resale registration rights, subject to customary cutbacks, suspensions and expenses provisions. Pursuant to the Investor and Registration Rights Agreement, the Sponsor and Christian Weedbrook were granted director nomination rights. The Sponsor designated Mr. Fradin as its nominee pursuant to the Investor and Registration Rights Agreement. Mr. Weedbrook was designated for election to the Board pursuant to the Investor and Registration Rights Agreement as he is our Chief Executive Officer. Mr. Weedbrook did not exercise his right to designate the Founder Director (as defined in the Investor and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separate indemnification agreements with our directors and executive officers, in addition to the indemnification provided for in the by-laws. These agreements, among other things, require us, to the extent permitted by the OBCA, to indemnify our directors and executive officers for certain costs, charges and expenses, including attorneys’ fees, judgments, fines and settlement amounts, reasonably incurred by a director or executive officer in any action or proceeding because of their association with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Pre-Closing Reorganization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Old Xanadu undertook a pre-closing reorganization. Pursuant to the pre-closing reorganization, Old Xanadu (among other things) transferred certain intangible assets of Old Xanadu to a wholly-owned subsidiary of Old Xanadu, resulting in an increase in the capital dividend account of Old Xanadu. The benefits of the capital dividend account were determined and allocated to certain Old Xanadu shareholders, as determined by the Old Xanadu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Coattail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we entered into a customary coattail agreement (the “Coattail Agreement”) with a trustee and certain holders of not less than 80% of the outstanding Class A Multiple Voting Shares (the “Covenanting Shareholders”), including certain of our directors, executive officers, and beneficial owners of more than 5% of Shares. For a description of the material terms of the Coattail Agreement, see the section titled “Description of Share Capital — Take-Over Bid Protection.”</w:t>
      </w:r>
    </w:p>
    <w:p>
      <w:pPr>
        <w:pStyle w:val="TextBody"/>
        <w:bidi w:val="0"/>
        <w:spacing w:before="0" w:after="0"/>
        <w:ind w:left="0" w:right="0" w:hanging="0"/>
        <w:jc w:val="left"/>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161</w:t>
      </w:r>
    </w:p>
    <w:p>
      <w:pPr>
        <w:pStyle w:val="TextBody"/>
        <w:bidi w:val="0"/>
        <w:spacing w:before="0" w:after="0"/>
        <w:jc w:val="center"/>
        <w:rPr/>
      </w:pPr>
      <w:r>
        <w:rPr/>
        <w:t> </w:t>
      </w:r>
    </w:p>
    <w:p>
      <w:pPr>
        <w:pStyle w:val="TextBody"/>
        <w:bidi w:val="0"/>
        <w:spacing w:before="0" w:after="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8" w:name="a_027"/>
      <w:bookmarkEnd w:id="28"/>
      <w:r>
        <w:rPr>
          <w:rFonts w:ascii="Times New Roman;Times;Serif" w:hAnsi="Times New Roman;Times;Serif"/>
          <w:b/>
          <w:i w:val="false"/>
          <w:caps/>
          <w:sz w:val="20"/>
        </w:rPr>
        <w:t>MATERIAL U.S. FEDERAL INCOME TAX CONSIDERATIONS FOR U.S. 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certain material U.S. federal income tax considerations relating to the acquisition, ownership and disposition of Shares by a U.S. Holder (as defined below). This summary addresses only the U.S. federal income tax considerations for U.S. Holders that hold such Shares as capital assets within the meaning of Section 1221 of the U.S. Internal Revenue Code of 1986, as amended (the “Code”). This summary does not address all U.S. federal income tax matters that may be relevant to a particular U.S. Holder. This summary does not address tax considerations applicable to a holder of Shares that may be subject to special tax rules including, without limitation, the following: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337"/>
        <w:gridCol w:w="9793"/>
      </w:tblGrid>
      <w:tr>
        <w:trPr/>
        <w:tc>
          <w:tcPr>
            <w:tcW w:w="7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pPr>
            <w:r>
              <w:rPr/>
              <w:t>●</w:t>
            </w:r>
          </w:p>
        </w:tc>
        <w:tc>
          <w:tcPr>
            <w:tcW w:w="9793" w:type="dxa"/>
            <w:tcBorders/>
            <w:vAlign w:val="center"/>
          </w:tcPr>
          <w:p>
            <w:pPr>
              <w:pStyle w:val="TableContents"/>
              <w:bidi w:val="0"/>
              <w:spacing w:before="0" w:after="283"/>
              <w:jc w:val="both"/>
              <w:rPr/>
            </w:pPr>
            <w:r>
              <w:rPr/>
              <w:t>banks, financial institutions or insurance companies;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8"/>
        <w:gridCol w:w="9976"/>
      </w:tblGrid>
      <w:tr>
        <w:trPr/>
        <w:tc>
          <w:tcPr>
            <w:tcW w:w="4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w:t>
            </w:r>
          </w:p>
        </w:tc>
        <w:tc>
          <w:tcPr>
            <w:tcW w:w="9976" w:type="dxa"/>
            <w:tcBorders/>
            <w:vAlign w:val="center"/>
          </w:tcPr>
          <w:p>
            <w:pPr>
              <w:pStyle w:val="TableContents"/>
              <w:bidi w:val="0"/>
              <w:spacing w:before="0" w:after="283"/>
              <w:jc w:val="both"/>
              <w:rPr/>
            </w:pPr>
            <w:r>
              <w:rPr/>
              <w:t>brokers, dealers or traders in securities, currencies, commodities, or notional principal contracts;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tax-exempt entities or organizations, including an “individual retirement account” or “Roth IRA” as defined in Section 408 or 408A of the Code, respectively;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30"/>
        <w:gridCol w:w="9924"/>
      </w:tblGrid>
      <w:tr>
        <w:trPr/>
        <w:tc>
          <w:tcPr>
            <w:tcW w:w="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24" w:type="dxa"/>
            <w:tcBorders/>
            <w:vAlign w:val="center"/>
          </w:tcPr>
          <w:p>
            <w:pPr>
              <w:pStyle w:val="TableContents"/>
              <w:bidi w:val="0"/>
              <w:spacing w:before="0" w:after="283"/>
              <w:jc w:val="both"/>
              <w:rPr/>
            </w:pPr>
            <w:r>
              <w:rPr/>
              <w:t>real estate investment trusts, regulated investment companies or grantor trusts;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persons that hold the Shares as part of a “hedging,” “integrated” or “conversion” transaction or as a position in a “straddle” for U.S. federal income tax purposes;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 corporations, partnerships (including entities or arrangements treated as partnerships for U.S. federal income tax purposes) or other pass-through entities, or persons that will hold the Shares through such an entity;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51"/>
        <w:gridCol w:w="9899"/>
      </w:tblGrid>
      <w:tr>
        <w:trPr/>
        <w:tc>
          <w:tcPr>
            <w:tcW w:w="5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w:t>
            </w:r>
          </w:p>
        </w:tc>
        <w:tc>
          <w:tcPr>
            <w:tcW w:w="9899" w:type="dxa"/>
            <w:tcBorders/>
            <w:vAlign w:val="center"/>
          </w:tcPr>
          <w:p>
            <w:pPr>
              <w:pStyle w:val="TableContents"/>
              <w:bidi w:val="0"/>
              <w:spacing w:before="0" w:after="283"/>
              <w:jc w:val="both"/>
              <w:rPr/>
            </w:pPr>
            <w:r>
              <w:rPr/>
              <w:t>certain former U.S. citizens or long-term residents of the United States;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2"/>
        <w:gridCol w:w="9897"/>
      </w:tblGrid>
      <w:tr>
        <w:trPr/>
        <w:tc>
          <w:tcPr>
            <w:tcW w:w="5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w:t>
            </w:r>
          </w:p>
        </w:tc>
        <w:tc>
          <w:tcPr>
            <w:tcW w:w="9897" w:type="dxa"/>
            <w:tcBorders/>
            <w:vAlign w:val="center"/>
          </w:tcPr>
          <w:p>
            <w:pPr>
              <w:pStyle w:val="TableContents"/>
              <w:bidi w:val="0"/>
              <w:spacing w:before="0" w:after="283"/>
              <w:jc w:val="both"/>
              <w:rPr/>
            </w:pPr>
            <w:r>
              <w:rPr/>
              <w:t>corporations that accumulate income to avoid U.S. federal income tax;</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28"/>
        <w:gridCol w:w="9926"/>
      </w:tblGrid>
      <w:tr>
        <w:trPr/>
        <w:tc>
          <w:tcPr>
            <w:tcW w:w="5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w:t>
            </w:r>
          </w:p>
        </w:tc>
        <w:tc>
          <w:tcPr>
            <w:tcW w:w="9926" w:type="dxa"/>
            <w:tcBorders/>
            <w:vAlign w:val="center"/>
          </w:tcPr>
          <w:p>
            <w:pPr>
              <w:pStyle w:val="TableContents"/>
              <w:bidi w:val="0"/>
              <w:spacing w:before="0" w:after="283"/>
              <w:jc w:val="both"/>
              <w:rPr/>
            </w:pPr>
            <w:r>
              <w:rPr/>
              <w:t>persons that received Shares as compensation for the performance of services;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holders that own directly, indirectly, or through attribution 10% or more of our Shares by vote or value;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262"/>
        <w:gridCol w:w="9885"/>
      </w:tblGrid>
      <w:tr>
        <w:trPr/>
        <w:tc>
          <w:tcPr>
            <w:tcW w:w="5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w:t>
            </w:r>
          </w:p>
        </w:tc>
        <w:tc>
          <w:tcPr>
            <w:tcW w:w="9885" w:type="dxa"/>
            <w:tcBorders/>
            <w:vAlign w:val="center"/>
          </w:tcPr>
          <w:p>
            <w:pPr>
              <w:pStyle w:val="TableContents"/>
              <w:bidi w:val="0"/>
              <w:spacing w:before="0" w:after="283"/>
              <w:jc w:val="both"/>
              <w:rPr/>
            </w:pPr>
            <w:r>
              <w:rPr/>
              <w:t>holders that have a “functional currency” other than the U.S. dollar.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this summary does not address the U.S. federal non-income tax considerations, including estate or gift tax considerations, the Medicare contribution tax on net investment income, the alternative minimum tax considerations, the special tax accounting rules under Section 451(b) of the Code, or any U.S. state, local, or non-U.S. tax considerations of the ownership or disposition of the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description is based on the Code, existing, proposed and temporary U.S. Treasury Regulations promulgated thereunder and administrative and judicial interpretations thereof, in each case as in effect and available on the date hereof. All the foregoing is subject to change, which change could apply retroactively, and to differing interpretations, all of which could affect the tax considerations described below. There can be no assurances that the U.S. Internal Revenue Service, or the IRS, will not take a position concerning the tax consequences of the ownership or disposition of the Shares or that such a position would not be sustained. Holders should consult their own tax advisers concerning the U.S. federal, state, local and non-U.S. tax consequences of the ownership and disposition of the Shares in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162</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summary, a “U.S. Holder” is a beneficial owner of Shares that is (or is treated as), for U.S. federal income tax purposes:</w:t>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87"/>
        <w:gridCol w:w="9854"/>
      </w:tblGrid>
      <w:tr>
        <w:trPr/>
        <w:tc>
          <w:tcPr>
            <w:tcW w:w="6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w:t>
            </w:r>
          </w:p>
        </w:tc>
        <w:tc>
          <w:tcPr>
            <w:tcW w:w="9854" w:type="dxa"/>
            <w:tcBorders/>
            <w:vAlign w:val="center"/>
          </w:tcPr>
          <w:p>
            <w:pPr>
              <w:pStyle w:val="TableContents"/>
              <w:bidi w:val="0"/>
              <w:spacing w:before="0" w:after="283"/>
              <w:jc w:val="both"/>
              <w:rPr/>
            </w:pPr>
            <w:r>
              <w:rPr/>
              <w:t>an individual who is a citizen or resident of the United States;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 corporation, or other entity that is treated as a corporation for U.S. federal income tax purposes, created or organized in or under the laws of the United States, any state thereof, or the District of Columbia;</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1"/>
        <w:gridCol w:w="9984"/>
      </w:tblGrid>
      <w:tr>
        <w:trPr/>
        <w:tc>
          <w:tcPr>
            <w:tcW w:w="4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w:t>
            </w:r>
          </w:p>
        </w:tc>
        <w:tc>
          <w:tcPr>
            <w:tcW w:w="9984" w:type="dxa"/>
            <w:tcBorders/>
            <w:vAlign w:val="center"/>
          </w:tcPr>
          <w:p>
            <w:pPr>
              <w:pStyle w:val="TableContents"/>
              <w:bidi w:val="0"/>
              <w:spacing w:before="0" w:after="283"/>
              <w:jc w:val="both"/>
              <w:rPr/>
            </w:pPr>
            <w:r>
              <w:rPr/>
              <w:t>an estate, the income of which is subject to U.S. federal income taxation regardless of its source; 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 trust, if a court within the United States is able to exercise primary supervision over its administration and one or more U.S. persons have the authority to control all of the substantial decisions of such trust or has a valid election in effect under applicable U.S. Treasury Regulations to be treated as a United States person.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any other entity or arrangement treated as a partnership for U.S. federal income tax purposes) holds Shares, the U.S. federal income tax consequences relating to an investment in the Shares will depend in part upon the status of the partner and the activities of the partnership. Such a partner or partnership should consult its tax advisor regarding the U.S. federal income tax considerations of owning and disposing of the Shares in its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considering an investment in the Shares should consult their own tax advisors as to the particular tax consequences applicable to them relating to the ownership and disposition of the Shares, including the applicability of U.S. federal, state and local tax laws and non-U.S. tax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Considerations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U.S. federal income tax purposes, a non-U.S. corporation will be a passive foreign investment company (“PFIC”) for any taxable year in which (i) 75% or more of its gross income consists of passive income or (ii) 50% or more of the value of its assets (determined on the basis of a weighted quarterly average) consists of assets that produce, or are held for the production of, passive income (including cash). For purposes of these tests, passive income includes dividends, interest, gains from the sale or exchange of investment property and certain rents and royalties. For purposes of the above calculations, a non-U.S. corporation that directly or indirectly owns at least 25% by value of the shares of another corporation is treated as holding and receiving directly its proportionate share of assets and income of such corporation.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an analysis of our income and assets, including the value of our goodwill, we do not believe that we were a PFIC for the taxable year ended December 31, 2025. There can be no assurances that we will not be treated as a PFIC for any taxable year. The determination of whether we are a PFIC is a fact-intensive determination made on an annual basis and the applicable law is subject to varying interpretation. In particular, the characterization of our assets as active or passive may depend in part on our current and intended future business plans, which are subject to change. In addition, for our current and future taxable years, the total value of our assets for PFIC testing purposes may be determined in part by reference to the market price of our Shares from time to time, which may fluctuate considerably. Under the income test, our status as a PFIC depends on the composition of our income which will depend on a variety of factors that are subject to uncertainty, including the characterization of transactions we enter into in the future and our corporate structure. Even if we determine that we are not a PFIC for a taxable year, there can be no assurance that the IRS will agree with our conclusion and that the IRS would not successfully challenge our position. Accordingly, our U.S. counsel expresses no opinion with respect to our PFIC status for any prior, current or future taxable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year during which a U.S. Holder holds Shares, we must generally continue to be treated as a PFIC by that holder for all succeeding years during which the U.S. Holder holds the Shares, unless we cease to meet the requirements for PFIC status and the U.S. Holder makes a “deemed sale” election with respect to the Shares. If the election is made, the U.S. Holder will be deemed to sell the Shares it holds at their fair market value on the last day of the last taxable year in which we qualified as a PFIC, and any gain recognized from such deemed sale would be taxed under the PFIC excess distribution regime. After the deemed sale election, the U.S. Holder’s Shares would not be treated as shares of a PFIC unless we subsequently become a PFIC.</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163</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and you are a U.S. Holder, then unless you make one of the elections described below, a special tax regime will apply to both (a) any “excess distribution” by us to you (generally, your ratable portion of distributions in any year which is greater than 125% of the average annual distribution received by you in the shorter of the three preceding years or your holding period for the Shares) and (b) any gain realized on the sale or other disposition of the Shares. Under this regime, any excess distribution and realized gain will be treated as ordinary income and will be subject to tax as if (a) the excess distribution or gain had been realized ratably over your holding period, (b) the amount deemed realized in each year had been subject to tax in each year of that holding period at the highest marginal rate for such year (other than income allocated to the current period or any taxable period before we became a PFIC, which would be subject to tax at the U.S. Holder’s regular ordinary income rate for the current year and would not be subject to the interest charge discussed below), and (c) the interest charge generally applicable to underpayments of tax had been imposed on the taxes deemed to have been payable in those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elections may alleviate some of the adverse consequences of PFIC status and would result in an alternative treatment of the Shares. A U.S. Holder can make an election, if we provide the necessary information, to treat us as a “qualified electing fund” or QEF in the first taxable year in which we are treated as a PFIC with respect to the U.S. Holder. Generally, a U.S. Holder must make the QEF election by attaching a separate properly completed IRS Form 8621 to the U.S. Holder’s timely filed U.S. federal income tax return for the first taxable year in which the U.S. Holder held our Shares that includes the close of our taxable year for which we met the PFIC gross income test or gross asset test. We may provide the information necessary for U.S. Holders to make the QEF election if we were treated as a PFIC for any taxable year. There is no assurance that we will have timely knowledge of our status as a PFIC in the future. Accordingly, U.S. Holders may be unable to make a timely QEF election with respect to our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makes a QEF election with respect to a PFIC, the U.S. Holder will be currently taxable on its pro rata share of the PFIC’s ordinary earnings and net capital gain (at ordinary income and capital gain rates, respectively) for each taxable year that the entity is classified as a PFIC. If a U.S. Holder makes a QEF election with respect to us, any distributions paid by us out of our earnings and profits that were previously included in the U.S. Holder’s income under the QEF election would not be taxable to the holder. A U.S. Holder will increase its tax basis in its Shares by an amount equal to any income included under the QEF election and will decrease its tax basis by any amount distributed on the Shares that is not included in the holder’s income. If a U.S. Holder has made a QEF election with respect to its Shares, any gain or loss recognized by the U.S. Holder on a sale or other disposition of such Shares will constitute capital gain or loss. U.S. Holders should consult their tax advisors regarding making QEF elections in their particular circumstances. If a U.S. Holder does not make and maintain a QEF election for the U.S. Holder’s entire holding period for our Shares by making the election for the first year in which the U.S. Holder owns our Shares, the U.S. Holder will be subject to the adverse PFIC rules discussed above unless the U.S. Holder can properly make a “purging election” with respect to our Shares in connection with the U.S. Holder’s QEF election. A purging election may require the U.S. Holder to recognize taxable gain on the U.S. Holder’s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Alternatively, if a U.S. Holder makes a mark-to-market election, the U.S. Holder generally will recognize as ordinary income any excess of the fair market value of the Shares at the end of each taxable year over its adjusted tax basis, and will recognize an ordinary loss in respect of any excess of the adjusted tax basis of the Shares over its fair market value at the end of the taxable year (but only to the extent of the net amount of income previously included as a result of the mark-to-market election). If a U.S. Holder makes the election, the U.S. Holder’s tax basis in the Shares will be adjusted to reflect these income or loss amounts. Any gain recognized on the sale or other disposition of Shares in a year when we are a PFIC will be treated as ordinary income and any loss will be treated as an ordinary loss (but only to the extent of the net amount of income previously included as a result of the mark-to-market election) and thereafter as capital loss. The mark-to-market election is available only if we are a PFIC and the Shares are “regularly traded” on a “qualified exchange.” The Shares will be treated as “regularly traded” in any calendar year in which more than a de minimis quantity of the Shares are traded on a qualified exchange on at least 15 days during each calendar quarter (subject to the rule that trades that have as one of their principal purposes the meeting of the trading requirement as disregarded). The Nasdaq Global Market is a qualified exchange for this purpose and, consequently, if the Shares remain listed on the Nasdaq Global Market and are regularly traded, the mark-to-market election will be available to a U.S. Holder. Once made, the election cannot be revoked without the consent of the IRS, unless the Shares cease to be marketable.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determined to be a PFIC, the general tax treatment for U.S. Holders described in this section would apply to indirect distributions and gains deemed to be realized by U.S. Holders in respect of any of our future subsidiaries that also may be determined to be PFICs. Moreover, a mark-to-market election generally would not be available with respect to any such subsidiaries.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164</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a PFIC (or with respect to a particular U.S. Holder were treated as a PFIC) for a taxable year in which we paid a dividend or for the prior taxable year, the favorable tax rate described in “-Distributions” below with respect to dividends paid to certain non-corporate U.S. Holders would not apply.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owns Shares during any taxable year in which we are a PFIC, the U.S. Holder generally will be required to file an IRS Form 8621 (Information Return by a Shareholder of a Passive Foreign Investment Company or Qualified Electing Fund) with respect to us, generally with the U.S. Holder’s federal income tax return for that year. If we were a PFIC for a given taxable year, then you should consult your tax advisor concerning your annual filing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U.S. federal income tax rules relating to PFICs are complex. Prospective U.S. investors are urged to consult their own tax advisers with respect to the acquisition, ownership and disposition of the Shares, the consequences to them of an investment in a PFIC, any elections available with respect to the Shares and the IRS information reporting obligations with respect to the acquisition, ownership and disposition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Distributions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under “</w:t>
      </w:r>
      <w:r>
        <w:rPr>
          <w:rFonts w:ascii="Times New Roman;Times;Serif" w:hAnsi="Times New Roman;Times;Serif"/>
          <w:b w:val="false"/>
          <w:i/>
          <w:caps w:val="false"/>
          <w:smallCaps w:val="false"/>
          <w:sz w:val="20"/>
        </w:rPr>
        <w:t>Passive Foreign Investment Company Considerations</w:t>
      </w:r>
      <w:r>
        <w:rPr>
          <w:rFonts w:ascii="Times New Roman;Times;Serif" w:hAnsi="Times New Roman;Times;Serif"/>
          <w:b w:val="false"/>
          <w:i w:val="false"/>
          <w:caps w:val="false"/>
          <w:smallCaps w:val="false"/>
          <w:sz w:val="20"/>
        </w:rPr>
        <w:t>,” above, the gross amount of any distribution (before reduction for any amounts withheld in respect of Canadian withholding tax) actually or constructively received by a U.S. Holder with respect to Shares will be taxable to the U.S. Holder as a dividend to the extent of the U.S. Holder’s pro rata share of our current and accumulated earnings and profits as determined under U.S. federal income tax principles. Distributions in excess of earnings and profits will be non-taxable to the U.S. Holder to the extent of, and will be applied against and reduce (but not below zero), the U.S. Holder’s adjusted tax basis in the Shares. Distributions in excess of earnings and profits and such adjusted tax basis will generally be taxable to the U.S. Holder as described below under “Sale, exchange or other taxable disposition of the Shares.” However, since we do not calculate our earnings and profits under U.S. federal income tax principles, it is expected that any distribution will be reported as a dividend, even if that distribution would otherwise be treated as a non-taxable return of capital or as capital gain under the rules described above. Non-corporate U.S. Holders may qualify for the preferential rates of taxation applicable to long-term capital gains (i.e., gains from the sale of capital assets held for more than one year) with respect to dividends on Shares if we are a “qualified foreign corporation” and certain other requirements are met. A non-United States corporation (other than a corporation that is classified as a PFIC for the taxable year in which the dividend is paid or the preceding taxable year) generally will be considered to be a qualified foreign corporation (a) if it is eligible for the benefits of a comprehensive tax treaty with the United States which the Secretary of Treasury of the United States determines is satisfactory for purposes of these rules and which includes an exchange of information provision, or (b) with respect to any dividend it pays on Shares which are readily tradable on an established securities market in the United States. The Shares are currently listed on the Nasdaq Global Market, which is an established securities market in the United States, and we expect the Shares to be readily tradable on the Nasdaq Global Market. However, there can be no assurance that the Shares will be considered readily tradable on an established securities market in the United States. Moreover, we, incorporated under the OBCA, believe that we qualify as a resident of Canada for purposes of, and are eligible for the benefits of, the Convention between the Government of the United States of America and the Government of Canada for the Avoidance of Double Taxation and the Prevention of Fiscal Evasion with Respect to Taxes on Income and Capital, signed on September 26, 1980, as amended and currently in force, or the Treaty, although there can be no assurance in this regard. Further, the IRS has determined that the Treaty is satisfactory for purposes of the qualified dividend rules and that it includes an exchange-of-information program. Therefore, subject to the discussion under “Passive Foreign Investment Company Considerations,” above, if the Treaty is applicable, or if the Shares are readily tradable on an established securities market in the United States, such dividends will generally be “qualified dividend income” in the hands of individual U.S. Holders eligible for the preferential tax rates, provided that certain conditions are met, including conditions relating to holding period and the absence of certain risk reduction transactions. The dividends will not be eligible for the dividends-received deduction generally allowed to corporate U.S. 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generally may claim the amount of any Canadian withholding tax as either a deduction from gross income or a credit against its U.S. federal income tax liability. However, the foreign tax credit is subject to numerous complex limitations that must be determined and applied on an individual basis. Each U.S. Holder should consult its own tax advisors regarding the foreign tax credit rules.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165</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the amount of a distribution paid to a U.S. Holder in a foreign currency will be the dollar value of the foreign currency calculated by reference to the spot exchange rate on the day the U.S. Holder receives the distribution, (actually or constructively), regardless of whether the foreign currency is converted into U.S. dollars at that time. Any foreign currency gain or loss a U.S. Holder realizes on a subsequent conversion of foreign currency into U.S. dollars will be U.S. source ordinary income or loss. If dividends received in a foreign currency are converted into U.S. dollars on the day they are received, a U.S. Holder should not be required to recognize foreign currency gain or loss in respect of the dividend.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Exchange or Other Taxable Disposition of the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will generally recognize gain or loss for U.S. federal income tax purposes upon the sale, exchange or other taxable disposition of Shares in an amount equal to the difference between the U.S. dollar value of the amount realized from such sale or exchange and the U.S. Holder’s adjusted tax basis in those Shares, determined in U.S. dollars. Subject to the discussion under “Passive Foreign Investment Company Considerations” above, this gain or loss will generally be a capital gain or loss. A U.S. Holder’s adjusted tax basis in the Shares generally will be equal to the cost of such Shares. Under current law, capital gain from the sale, exchange or other taxable disposition of Shares of a non-corporate U.S. Holder is generally eligible for a preferential rate of taxation applicable to capital gains, if the non-corporate U.S. Holder’s holding period determined at the time of such sale, exchange or other taxable disposition for such Shares exceeds one year (i.e., such gain is long-term taxable gain). The deductibility of capital losses for U.S. federal income tax purposes is subject to limitations under the Code. Any such gain or loss that a U.S. Holder recognizes generally will be treated as U.S. source gain or loss for foreign tax credit limitation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Backup Withholding and Information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generally will be subject to information reporting requirements with respect to dividends on Shares and on the proceeds from the sale, exchange or disposition of Shares that are paid within the United States or through U.S.-related financial intermediaries, unless the U.S. Holder is an “exempt recipient.” In addition, U.S. Holders may be subject to backup withholding on such payments, unless the U.S. Holder provides a taxpayer identification number and a duly executed IRS 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Asset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who are individuals may be required to report information relating to their ownership of an interest in certain foreign financial assets, including stock of a non-U.S. person, generally on Form 8938, subject to exceptions (including an exception for stock held through a U.S. financial institution). In addition, certain U.S. Holders may be required to file a FinCEN Form 114 (Report of Foreign Bank and Financial Accounts) with the U.S. Treasury Department each year to report their interest in the Shares. U.S. Holders should consult their tax advisers regarding their reporting obligations with respect to the Shares.</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166</w:t>
      </w:r>
    </w:p>
    <w:p>
      <w:pPr>
        <w:pStyle w:val="TextBody"/>
        <w:bidi w:val="0"/>
        <w:spacing w:before="0" w:after="0"/>
        <w:jc w:val="center"/>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9" w:name="a_028"/>
      <w:bookmarkEnd w:id="29"/>
      <w:r>
        <w:rPr>
          <w:rFonts w:ascii="Times New Roman;Times;Serif" w:hAnsi="Times New Roman;Times;Serif"/>
          <w:b/>
          <w:i w:val="false"/>
          <w:caps/>
          <w:sz w:val="20"/>
        </w:rPr>
        <w:t>MATERIAL CANADIAN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Canadian Federal Income Tax Considerations for U.S. 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discussion is a summary of the principal Canadian federal income tax considerations generally applicable to a beneficial owner of the Class B Subordinate Voting Shares of Xanadu who, at all relevant times, for purposes of the </w:t>
      </w:r>
      <w:r>
        <w:rPr>
          <w:rFonts w:ascii="Times New Roman;Times;Serif" w:hAnsi="Times New Roman;Times;Serif"/>
          <w:b w:val="false"/>
          <w:i/>
          <w:caps w:val="false"/>
          <w:smallCaps w:val="false"/>
          <w:sz w:val="20"/>
        </w:rPr>
        <w:t>Income Tax Act</w:t>
      </w:r>
      <w:r>
        <w:rPr>
          <w:rFonts w:ascii="Times New Roman;Times;Serif" w:hAnsi="Times New Roman;Times;Serif"/>
          <w:b w:val="false"/>
          <w:i w:val="false"/>
          <w:caps w:val="false"/>
          <w:smallCaps w:val="false"/>
          <w:sz w:val="20"/>
        </w:rPr>
        <w:t xml:space="preserve"> (Canada) and the </w:t>
      </w:r>
      <w:r>
        <w:rPr>
          <w:rFonts w:ascii="Times New Roman;Times;Serif" w:hAnsi="Times New Roman;Times;Serif"/>
          <w:b w:val="false"/>
          <w:i/>
          <w:caps w:val="false"/>
          <w:smallCaps w:val="false"/>
          <w:sz w:val="20"/>
        </w:rPr>
        <w:t>Income Tax Regulations</w:t>
      </w:r>
      <w:r>
        <w:rPr>
          <w:rFonts w:ascii="Times New Roman;Times;Serif" w:hAnsi="Times New Roman;Times;Serif"/>
          <w:b w:val="false"/>
          <w:i w:val="false"/>
          <w:caps w:val="false"/>
          <w:smallCaps w:val="false"/>
          <w:sz w:val="20"/>
        </w:rPr>
        <w:t xml:space="preserve"> (collectively, the “Canadian Tax Act”) (i) deals at arm’s-length with, and is not affiliated with, the Company, (ii) beneficially owns its Class B Subordinate Voting Shares as capital property, (iii) does not use or hold and is not deemed to use or hold such Class B Subordinate Voting Shares in carrying on a business in Canada, (iv) does not with respect to the Class B Subordinate Voting Shares enter into a “derivative forward agreement” or “synthetic disposition arrangement” as defined in the Canadian Tax Act, (v) is not a “foreign affiliate” (as defined in the Canadian Tax Act) of a taxpayer resident in Canada, and (vi) at all relevant times, for purposes of the application of the Treaty, is resident in the United States, is not, and is not deemed to be, resident in Canada and is eligible for benefits under the Treaty (defined for purposes of this section entitled “Material Canadian Federal Income Tax Considerations” </w:t>
      </w:r>
      <w:r>
        <w:rPr>
          <w:rFonts w:ascii="Times New Roman;Times;Serif" w:hAnsi="Times New Roman;Times;Serif"/>
          <w:b w:val="false"/>
          <w:i/>
          <w:caps w:val="false"/>
          <w:smallCaps w:val="false"/>
          <w:sz w:val="20"/>
        </w:rPr>
        <w:t>only</w:t>
      </w:r>
      <w:r>
        <w:rPr>
          <w:rFonts w:ascii="Times New Roman;Times;Serif" w:hAnsi="Times New Roman;Times;Serif"/>
          <w:b w:val="false"/>
          <w:i w:val="false"/>
          <w:caps w:val="false"/>
          <w:smallCaps w:val="false"/>
          <w:sz w:val="20"/>
        </w:rPr>
        <w:t xml:space="preserve"> a “U.S. Holder”). Special rules, which are not discussed in the summary, may apply to a beneficial owner of the Class B Subordinate Voting Shares that is an insurer that carries on an insurance business in Canada and elsewhere or that is an “authorized foreign bank” as defined in the Canadian Tax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Treaty includes limitation on benefits rules that restrict the ability of certain persons who are resident in the United States to claim any or all benefits under the Treaty. Furthermore, limited liability companies (“LLCs”) that are not taxed as corporations pursuant to the provisions of the U.S. Internal Revenue Code of 1986, as amended, do not generally qualify as resident in the United States for purposes of the Treaty. Under the Treaty, a resident of the United States who is a member of such an LLC and is otherwise eligible for benefits under the Treaty may generally be entitled to claim benefits under the Treaty in respect of income, profits or gains derived through the LLC. Residents of the United States should consult their own tax advisors with respect to their eligibility for benefits under the Treaty.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based upon the current provisions of the Canadian Tax Act, all specific proposals to amend the Canadian Tax Act that have been publicly announced by or on behalf of the Minister of Finance (Canada) prior to the date hereof (the “Tax Proposals”), the Treaty and our understanding of the current administrative policies and assessing practices of the Canada Revenue Agency (the “CRA”) published in writing prior to the date hereof. No assurances can be given that the Tax Proposals will be enacted as proposed, if at all. This summary is not exhaustive of all possible Canadian federal income tax considerations with respect to the ownership and disposition of the Class B Subordinate Voting Shares, and except for the Tax Proposals, does not take into account or anticipate any changes in the law or administrative policies and assessing practices, whether by judicial, regulatory, administrative or legislative decision or action, nor does it take into account provincial, territorial or foreign tax legislation or considerations, which may differ significantly from those discussed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summary is of a general nature only and is not intended to be, nor should it be construed to be, legal or tax advice generally or to any particular U.S. Holder. U.S. Holders should consult their own tax advisors with respect to the tax consequences to them of the ownership and disposition of the Class B Subordinate Voting Shares, having regard to their own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Currency Conversion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for purposes of the Canadian Tax Act, all amounts relating to the acquisition, holding or disposition of the Class B Subordinate Voting Shares must be converted into Canadian dollars based on the rate of exchange quoted by the Bank of Canada on the date such amount arose, or such other rate of exchange as may be acceptable to the CRA. The amount of dividends, if any, required to be included in the income of, and capital gains or capital losses realized by, a U.S. Holder may be affected by fluctuations in the Canadian/U.S. dollar exchange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167</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 on Class B Subordinate Voting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or credited on the Class B Subordinate Voting Shares or deemed to be paid or credited on the Class B Subordinate Voting Shares to a U.S. Holder that is the beneficial owner of such dividends will generally be subject to non-resident withholding tax under the Canadian Tax Act and the Treaty at the rate of: (a) 5% of the gross amount paid or credited if the U.S. Holder is a company that owns (or is deemed to own) at least 10% of the Company’s voting stock or (b) 15% of the gross amount paid or credited in all other cases. The rate of withholding under the Canadian Tax Act in respect of dividends paid to non-residents of Canada is 25% of the gross amount paid or credited where no tax treaty applies.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Gains on Disposition of Class B Subordinate Voting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U.S. Holder will not be subject to tax under the Canadian Tax Act on capital gains, or be entitled to deduct capital losses, arising on the disposition of such U.S. Holder’s Class B Subordinate Voting Shares unless the Class B Subordinate Voting Shares are “taxable Canadian property” to the U.S. Holder at the time of disposition and are not “treaty-protected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long as the Class B Subordinate Voting Shares are then listed on a “designated stock exchange”, which currently includes the Nasdaq and the TSX, the Class B Subordinate Voting Shares generally will not constitute taxable Canadian property of a U.S. Holder, unless at any time during the 60-month period preceding the disposition: (a) one or any combination of (i) the U.S. Holder, (ii) persons not dealing at arm’s length with such U.S. Holder, and (iii) partnerships in which the U.S. Holder or a person described in (ii) holds a membership interest (either directly or indirectly through one or more partnerships), owned 25% or more of the issued shares of any class or series of the capital stock of the Company and (b) more than 50% of the fair market value of the Class B Subordinate Voting Shares was derived, directly or indirectly, from any combination of: (i) real or immovable property situated in Canada, (ii) “Canadian resource property” (as such term is defined in the Canadian Tax Act), (iii) “timber resource property” (as such term is defined in the Canadian Tax Act) or (iv) options in respect of, or interests in, or for civil law rights in, any such properties whether or not the property exists, or the Class B Subordinate Voting Shares are otherwise deemed to be taxable Canadian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B Subordinate Voting Shares will be treaty-protected property where the U.S. Holder is exempt from income tax under the Canadian Tax Act on the disposition of the Class B Subordinate Voting Shares because of the Treaty. Class B Subordinate Voting Shares owned by a U.S. Holder will generally be treaty-protected property where the value of the Class B Subordinate Voting Shares is not derived principally from real property situated in Canada, as defined in the Treaty, at the time of disposition.</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168</w:t>
      </w:r>
    </w:p>
    <w:p>
      <w:pPr>
        <w:pStyle w:val="TextBody"/>
        <w:bidi w:val="0"/>
        <w:spacing w:before="0" w:after="0"/>
        <w:jc w:val="center"/>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30" w:name="a_029"/>
      <w:bookmarkEnd w:id="30"/>
      <w:r>
        <w:rPr>
          <w:rFonts w:ascii="Times New Roman;Times;Serif" w:hAnsi="Times New Roman;Times;Serif"/>
          <w:b/>
          <w:i w:val="false"/>
          <w:caps/>
          <w:sz w:val="20"/>
        </w:rPr>
        <w:t>PLAN OF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B Subordinate Voting Shares offered by this prospectus are being offered by the Selling Securityholders. The shares may be sold or distributed from time to time by the Selling Securityholders directly to one or more purchasers or through brokers, dealers, or underwriters who may act solely as agents at market prices prevailing at the time of sale, at prices related to the prevailing market prices, at negotiated prices, or at fixed prices, which may be changed. We will not receive any of the proceeds from the sale of the securities by the Selling Securityholders. We may receive up to $300,000,000 aggregate gross proceeds under the SEPA from any sales of our Class B Subordinate Voting Shares by us to Yorkville pursuant to the SEPA (representing the full commitment amount before the application of the 2.5% discount to the Market Price at which Yorkville purchases shares). The net proceeds from sales, if any, under the SEPA will depend on the number of Class B Subordinate Voting Shares we sell to Yorkville, the timing of such sales, and the prices at which we sell such shares to Yorkville after the date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our Class B Subordinate Voting Shares offered by this prospectus could be effected in one or more of the following methods: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4"/>
        <w:gridCol w:w="558"/>
        <w:gridCol w:w="9523"/>
      </w:tblGrid>
      <w:tr>
        <w:trPr/>
        <w:tc>
          <w:tcPr>
            <w:tcW w:w="12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pPr>
            <w:r>
              <w:rPr/>
              <w:t>●</w:t>
            </w:r>
          </w:p>
        </w:tc>
        <w:tc>
          <w:tcPr>
            <w:tcW w:w="9523" w:type="dxa"/>
            <w:tcBorders/>
            <w:vAlign w:val="center"/>
          </w:tcPr>
          <w:p>
            <w:pPr>
              <w:pStyle w:val="TableContents"/>
              <w:bidi w:val="0"/>
              <w:spacing w:before="0" w:after="283"/>
              <w:jc w:val="both"/>
              <w:rPr/>
            </w:pPr>
            <w:r>
              <w:rPr/>
              <w:t>ordinary brokers’ transactions;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397"/>
        <w:gridCol w:w="9720"/>
      </w:tblGrid>
      <w:tr>
        <w:trPr/>
        <w:tc>
          <w:tcPr>
            <w:tcW w:w="8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pPr>
            <w:r>
              <w:rPr/>
              <w:t>●</w:t>
            </w:r>
          </w:p>
        </w:tc>
        <w:tc>
          <w:tcPr>
            <w:tcW w:w="9720" w:type="dxa"/>
            <w:tcBorders/>
            <w:vAlign w:val="center"/>
          </w:tcPr>
          <w:p>
            <w:pPr>
              <w:pStyle w:val="TableContents"/>
              <w:bidi w:val="0"/>
              <w:spacing w:before="0" w:after="283"/>
              <w:jc w:val="both"/>
              <w:rPr/>
            </w:pPr>
            <w:r>
              <w:rPr/>
              <w:t>transactions involving cross or block trades;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50"/>
        <w:gridCol w:w="9900"/>
      </w:tblGrid>
      <w:tr>
        <w:trPr/>
        <w:tc>
          <w:tcPr>
            <w:tcW w:w="5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through brokers, dealers, or underwriters who may act solely as agents;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15"/>
        <w:gridCol w:w="9942"/>
      </w:tblGrid>
      <w:tr>
        <w:trPr/>
        <w:tc>
          <w:tcPr>
            <w:tcW w:w="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w:t>
            </w:r>
          </w:p>
        </w:tc>
        <w:tc>
          <w:tcPr>
            <w:tcW w:w="9942" w:type="dxa"/>
            <w:tcBorders/>
            <w:vAlign w:val="center"/>
          </w:tcPr>
          <w:p>
            <w:pPr>
              <w:pStyle w:val="TableContents"/>
              <w:bidi w:val="0"/>
              <w:spacing w:before="0" w:after="283"/>
              <w:jc w:val="both"/>
              <w:rPr/>
            </w:pPr>
            <w:r>
              <w:rPr/>
              <w:t>“</w:t>
            </w:r>
            <w:r>
              <w:rPr/>
              <w:t>at the market” into an existing market for our Class B Subordinate Voting Shares;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 other ways not involving market makers or established business markets, including direct sales to purchasers or sales effected through agents;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453"/>
        <w:gridCol w:w="9651"/>
      </w:tblGrid>
      <w:tr>
        <w:trPr/>
        <w:tc>
          <w:tcPr>
            <w:tcW w:w="10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pPr>
            <w:r>
              <w:rPr/>
              <w:t>●</w:t>
            </w:r>
          </w:p>
        </w:tc>
        <w:tc>
          <w:tcPr>
            <w:tcW w:w="9651" w:type="dxa"/>
            <w:tcBorders/>
            <w:vAlign w:val="center"/>
          </w:tcPr>
          <w:p>
            <w:pPr>
              <w:pStyle w:val="TableContents"/>
              <w:bidi w:val="0"/>
              <w:spacing w:before="0" w:after="283"/>
              <w:jc w:val="both"/>
              <w:rPr/>
            </w:pPr>
            <w:r>
              <w:rPr/>
              <w:t>in privately negotiated transactions; 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502"/>
        <w:gridCol w:w="9591"/>
      </w:tblGrid>
      <w:tr>
        <w:trPr/>
        <w:tc>
          <w:tcPr>
            <w:tcW w:w="11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pPr>
            <w:r>
              <w:rPr/>
              <w:t>●</w:t>
            </w:r>
          </w:p>
        </w:tc>
        <w:tc>
          <w:tcPr>
            <w:tcW w:w="9591" w:type="dxa"/>
            <w:tcBorders/>
            <w:vAlign w:val="center"/>
          </w:tcPr>
          <w:p>
            <w:pPr>
              <w:pStyle w:val="TableContents"/>
              <w:bidi w:val="0"/>
              <w:spacing w:before="0" w:after="283"/>
              <w:jc w:val="both"/>
              <w:rPr/>
            </w:pPr>
            <w:r>
              <w:rPr/>
              <w:t>any combination of the foregoing.</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Yorkville is an “underwriter” within the meaning of Section 2(a)(11) of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Yorkville has informed us that it intends to use one or more registered broker-dealers to effectuate all sales, if any, of our Class B Subordinate Voting Shares that it may acquire from us pursuant to the SEPA. Such sales will be made at prices and at terms then prevailing or at prices related to the then current market price. Such registered broker-dealer may, in some circumstances (for instance if such registered broker-dealer’s involvement is not limited to receiving commission not in excess of the usual and customary distributor’s or seller’s commissions), be considered to be an underwriter within the meaning of Section 2(a)(11) of the Securities Act. Yorkville has informed us that each such broker-dealer may receive commissions from Yorkville for executing such sales for Yorkville and, if so, such commissions will not exceed customary brokerage commissions.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dealers, underwriters or agents participating in the distribution of our Class B Subordinate Voting Shares offered by this prospectus may receive compensation in the form of commissions, discounts, or concessions from the purchasers, for whom the broker-dealers may act as agent, of the shares sold by the Selling Securityholders through this prospectus. The compensation paid to any such particular broker-dealer by any such purchasers of our Class B Subordinate Voting Shares sold by the Selling Securityholders may be less than or in excess of customary commissions. Neither we nor the Selling Securityholders can presently estimate the amount of compensation that any agent will receive from any purchasers of our Class B Subordinate Voting Shares sold by a Selling Securityholder.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169</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know of no existing arrangements between the Selling Securityholders or any other stockholder, broker, dealer, underwriter or agent relating to the sale or distribution of the Class B Subordinate Voting Shares offered by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offered by this prospectus by Yorkville, including with respect to any compensation paid or payable by Yorkville to any brokers, dealers, underwriters or agents that participate in the distribution of such Class B Subordinate Voting Shares by Yorkville, and any other related information required to be disclosed under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expenses incident to the registration under the Securities Act of the offer and sale of our Class B Subordinate Voting Shares covered by this prospectus by the Selling Securityholders.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its irrevocable commitment to purchase our Ordinary Shares under the SEPA, we paid Yorkville, (i) a structuring fee in the amount of $25,000 and (ii) the Commitment Fee.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agreed to indemnify Yorkville and certain other persons against certain liabilities in connection with the offering of our Class B Subordinate Voting Shares offered hereby, including liabilities arising under the Securities Act or, if such indemnity is unavailable, to contribute amounts required to be paid in respect of such liabilities. Yorkville has agreed to indemnify us against liabilities under the Securities Act that may arise from certain written information furnished to us by Yorkville specifically for use in this prospectus or, if such indemnity is unavailable, to contribute amounts required to be paid in respect of such liabilities.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total expenses for the offering will be approximately $0.5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Yorkville has represented to us that at no time prior to the date of the SEPA has Yorkville or any entity managed or controlled by Yorkville, engaged in or effected, in any manner whatsoever, directly or indirectly, for its own account or for the account of any of its affiliates, any short sale or any transaction, which establishes a net short position with respect to our Class B Subordinate Voting Shares. Yorkville has agreed that during the term of the SEPA, none of Yorkville, its officers, its sole member, or any entity managed or controlled by Yorkville, will enter into or effect, directly or indirectly, any of the foregoing transactions for its own account or for the account of any other such person or entity.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Yorkville that it is required to comply with Regulation M promulgated under the Exchange Act. With certain exceptions, Regulation M precludes Yorkville,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will terminate on the date that all of our Class B Subordinate Voting Shares offered by this prospectus have been sold by the Selling Securityholders.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B Subordinate Voting Shares are listed on the Nasdaq and the TSX under the ticker symbol “XNDU.”</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170</w:t>
      </w:r>
    </w:p>
    <w:p>
      <w:pPr>
        <w:pStyle w:val="TextBody"/>
        <w:bidi w:val="0"/>
        <w:spacing w:before="0" w:after="0"/>
        <w:jc w:val="center"/>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31" w:name="a_030"/>
      <w:bookmarkEnd w:id="31"/>
      <w:r>
        <w:rPr>
          <w:rFonts w:ascii="Times New Roman;Times;Serif" w:hAnsi="Times New Roman;Times;Serif"/>
          <w:b/>
          <w:i w:val="false"/>
          <w:caps/>
          <w:sz w:val="20"/>
        </w:rPr>
        <w:t>EXPENSES RELATED TO THE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an itemization of the total expenses that are expected to be incurred by us in connection with the offer and sale of the Class B Subordinate Voting Shares by the Selling Securityholders. With the exception of the SEC registration fee, all amounts are estimates.</w:t>
      </w:r>
    </w:p>
    <w:p>
      <w:pPr>
        <w:pStyle w:val="TextBody"/>
        <w:bidi w:val="0"/>
        <w:spacing w:before="0" w:after="0"/>
        <w:ind w:left="0" w:right="0" w:firstLine="360"/>
        <w:jc w:val="both"/>
        <w:rPr>
          <w:caps w:val="false"/>
          <w:smallCaps w:val="false"/>
        </w:rPr>
      </w:pPr>
      <w:r>
        <w:rPr>
          <w:caps w:val="false"/>
          <w:smallCaps w:val="false"/>
        </w:rPr>
        <w:t> </w:t>
      </w:r>
    </w:p>
    <w:tbl>
      <w:tblPr>
        <w:tblW w:w="4299" w:type="dxa"/>
        <w:jc w:val="left"/>
        <w:tblInd w:w="0" w:type="dxa"/>
        <w:tblLayout w:type="fixed"/>
        <w:tblCellMar>
          <w:top w:w="0" w:type="dxa"/>
          <w:left w:w="0" w:type="dxa"/>
          <w:bottom w:w="0" w:type="dxa"/>
          <w:right w:w="0" w:type="dxa"/>
        </w:tblCellMar>
      </w:tblPr>
      <w:tblGrid>
        <w:gridCol w:w="3005"/>
        <w:gridCol w:w="60"/>
        <w:gridCol w:w="172"/>
        <w:gridCol w:w="987"/>
        <w:gridCol w:w="75"/>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 Dollar</w:t>
            </w:r>
          </w:p>
        </w:tc>
        <w:tc>
          <w:tcPr>
            <w:tcW w:w="75" w:type="dxa"/>
            <w:tcBorders/>
            <w:vAlign w:val="center"/>
          </w:tcPr>
          <w:p>
            <w:pPr>
              <w:pStyle w:val="TableContents"/>
              <w:bidi w:val="0"/>
              <w:spacing w:before="0" w:after="283"/>
              <w:ind w:left="0" w:right="0" w:hanging="240"/>
              <w:jc w:val="left"/>
              <w:rPr/>
            </w:pPr>
            <w:r>
              <w:rPr/>
              <w:t> </w:t>
            </w:r>
          </w:p>
        </w:tc>
      </w:tr>
      <w:tr>
        <w:trPr/>
        <w:tc>
          <w:tcPr>
            <w:tcW w:w="3005" w:type="dxa"/>
            <w:tcBorders/>
            <w:shd w:fill="CCEEFF" w:val="clear"/>
            <w:vAlign w:val="center"/>
          </w:tcPr>
          <w:p>
            <w:pPr>
              <w:pStyle w:val="TableContents"/>
              <w:bidi w:val="0"/>
              <w:spacing w:before="0" w:after="283"/>
              <w:jc w:val="left"/>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987" w:type="dxa"/>
            <w:tcBorders/>
            <w:shd w:fill="CCEEFF" w:val="clear"/>
            <w:vAlign w:val="center"/>
          </w:tcPr>
          <w:p>
            <w:pPr>
              <w:pStyle w:val="TableContents"/>
              <w:bidi w:val="0"/>
              <w:spacing w:before="0" w:after="283"/>
              <w:jc w:val="right"/>
              <w:rPr/>
            </w:pPr>
            <w:r>
              <w:rPr/>
              <w:t>50,090</w:t>
            </w:r>
          </w:p>
        </w:tc>
        <w:tc>
          <w:tcPr>
            <w:tcW w:w="75" w:type="dxa"/>
            <w:tcBorders/>
            <w:shd w:fill="CCEEFF" w:val="clear"/>
            <w:vAlign w:val="center"/>
          </w:tcPr>
          <w:p>
            <w:pPr>
              <w:pStyle w:val="TableContents"/>
              <w:bidi w:val="0"/>
              <w:spacing w:before="0" w:after="283"/>
              <w:ind w:left="0" w:right="0" w:hanging="240"/>
              <w:jc w:val="left"/>
              <w:rPr/>
            </w:pPr>
            <w:r>
              <w:rPr/>
              <w:t> </w:t>
            </w:r>
          </w:p>
        </w:tc>
      </w:tr>
      <w:tr>
        <w:trPr/>
        <w:tc>
          <w:tcPr>
            <w:tcW w:w="3005" w:type="dxa"/>
            <w:tcBorders/>
            <w:shd w:fill="FFFFFF" w:val="clear"/>
            <w:vAlign w:val="center"/>
          </w:tcPr>
          <w:p>
            <w:pPr>
              <w:pStyle w:val="TableContents"/>
              <w:bidi w:val="0"/>
              <w:spacing w:before="0" w:after="283"/>
              <w:jc w:val="left"/>
              <w:rPr/>
            </w:pPr>
            <w:r>
              <w:rPr/>
              <w:t>Legal Fees and Expenses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p>
        </w:tc>
        <w:tc>
          <w:tcPr>
            <w:tcW w:w="987" w:type="dxa"/>
            <w:tcBorders/>
            <w:shd w:fill="FFFFFF" w:val="clear"/>
            <w:vAlign w:val="center"/>
          </w:tcPr>
          <w:p>
            <w:pPr>
              <w:pStyle w:val="TableContents"/>
              <w:bidi w:val="0"/>
              <w:spacing w:before="0" w:after="283"/>
              <w:jc w:val="right"/>
              <w:rPr/>
            </w:pPr>
            <w:r>
              <w:rPr/>
              <w:t>187,000</w:t>
            </w:r>
          </w:p>
        </w:tc>
        <w:tc>
          <w:tcPr>
            <w:tcW w:w="75" w:type="dxa"/>
            <w:tcBorders/>
            <w:shd w:fill="FFFFFF" w:val="clear"/>
            <w:vAlign w:val="center"/>
          </w:tcPr>
          <w:p>
            <w:pPr>
              <w:pStyle w:val="TableContents"/>
              <w:bidi w:val="0"/>
              <w:spacing w:before="0" w:after="283"/>
              <w:ind w:left="0" w:right="0" w:hanging="240"/>
              <w:jc w:val="left"/>
              <w:rPr/>
            </w:pPr>
            <w:r>
              <w:rPr/>
              <w:t> </w:t>
            </w:r>
          </w:p>
        </w:tc>
      </w:tr>
      <w:tr>
        <w:trPr/>
        <w:tc>
          <w:tcPr>
            <w:tcW w:w="3005" w:type="dxa"/>
            <w:tcBorders/>
            <w:shd w:fill="CCEEFF" w:val="clear"/>
            <w:vAlign w:val="center"/>
          </w:tcPr>
          <w:p>
            <w:pPr>
              <w:pStyle w:val="TableContents"/>
              <w:bidi w:val="0"/>
              <w:spacing w:before="0" w:after="283"/>
              <w:jc w:val="left"/>
              <w:rPr/>
            </w:pPr>
            <w:r>
              <w:rPr/>
              <w:t>Accounting Fees and Expenses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987" w:type="dxa"/>
            <w:tcBorders/>
            <w:shd w:fill="CCEEFF" w:val="clear"/>
            <w:vAlign w:val="center"/>
          </w:tcPr>
          <w:p>
            <w:pPr>
              <w:pStyle w:val="TableContents"/>
              <w:bidi w:val="0"/>
              <w:spacing w:before="0" w:after="283"/>
              <w:jc w:val="right"/>
              <w:rPr/>
            </w:pPr>
            <w:r>
              <w:rPr/>
              <w:t>73,000</w:t>
            </w:r>
          </w:p>
        </w:tc>
        <w:tc>
          <w:tcPr>
            <w:tcW w:w="75" w:type="dxa"/>
            <w:tcBorders/>
            <w:shd w:fill="CCEEFF" w:val="clear"/>
            <w:vAlign w:val="center"/>
          </w:tcPr>
          <w:p>
            <w:pPr>
              <w:pStyle w:val="TableContents"/>
              <w:bidi w:val="0"/>
              <w:spacing w:before="0" w:after="283"/>
              <w:ind w:left="0" w:right="0" w:hanging="240"/>
              <w:jc w:val="left"/>
              <w:rPr/>
            </w:pPr>
            <w:r>
              <w:rPr/>
              <w:t> </w:t>
            </w:r>
          </w:p>
        </w:tc>
      </w:tr>
      <w:tr>
        <w:trPr/>
        <w:tc>
          <w:tcPr>
            <w:tcW w:w="3005" w:type="dxa"/>
            <w:tcBorders/>
            <w:shd w:fill="FFFFFF" w:val="clear"/>
            <w:vAlign w:val="center"/>
          </w:tcPr>
          <w:p>
            <w:pPr>
              <w:pStyle w:val="TableContents"/>
              <w:bidi w:val="0"/>
              <w:spacing w:before="0" w:after="283"/>
              <w:jc w:val="left"/>
              <w:rPr/>
            </w:pPr>
            <w:r>
              <w:rPr/>
              <w:t>Printing Expenses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p>
        </w:tc>
        <w:tc>
          <w:tcPr>
            <w:tcW w:w="987" w:type="dxa"/>
            <w:tcBorders/>
            <w:shd w:fill="FFFFFF" w:val="clear"/>
            <w:vAlign w:val="center"/>
          </w:tcPr>
          <w:p>
            <w:pPr>
              <w:pStyle w:val="TableContents"/>
              <w:bidi w:val="0"/>
              <w:spacing w:before="0" w:after="283"/>
              <w:jc w:val="right"/>
              <w:rPr/>
            </w:pPr>
            <w:r>
              <w:rPr/>
              <w:t>30,000</w:t>
            </w:r>
          </w:p>
        </w:tc>
        <w:tc>
          <w:tcPr>
            <w:tcW w:w="75" w:type="dxa"/>
            <w:tcBorders/>
            <w:shd w:fill="FFFFFF" w:val="clear"/>
            <w:vAlign w:val="center"/>
          </w:tcPr>
          <w:p>
            <w:pPr>
              <w:pStyle w:val="TableContents"/>
              <w:bidi w:val="0"/>
              <w:spacing w:before="0" w:after="283"/>
              <w:ind w:left="0" w:right="0" w:hanging="240"/>
              <w:jc w:val="left"/>
              <w:rPr/>
            </w:pPr>
            <w:r>
              <w:rPr/>
              <w:t> </w:t>
            </w:r>
          </w:p>
        </w:tc>
      </w:tr>
      <w:tr>
        <w:trPr/>
        <w:tc>
          <w:tcPr>
            <w:tcW w:w="3005" w:type="dxa"/>
            <w:tcBorders/>
            <w:shd w:fill="CCEEFF" w:val="clear"/>
            <w:vAlign w:val="center"/>
          </w:tcPr>
          <w:p>
            <w:pPr>
              <w:pStyle w:val="TableContents"/>
              <w:bidi w:val="0"/>
              <w:spacing w:before="0" w:after="283"/>
              <w:jc w:val="left"/>
              <w:rPr/>
            </w:pPr>
            <w:r>
              <w:rPr/>
              <w:t>Miscellaneous Expenses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7" w:type="dxa"/>
            <w:tcBorders>
              <w:bottom w:val="single" w:sz="12" w:space="0" w:color="000000"/>
            </w:tcBorders>
            <w:shd w:fill="CCEEFF" w:val="clear"/>
            <w:tcMar>
              <w:bottom w:w="28" w:type="dxa"/>
            </w:tcMar>
            <w:vAlign w:val="center"/>
          </w:tcPr>
          <w:p>
            <w:pPr>
              <w:pStyle w:val="TableContents"/>
              <w:bidi w:val="0"/>
              <w:spacing w:before="0" w:after="283"/>
              <w:jc w:val="right"/>
              <w:rPr/>
            </w:pPr>
            <w:r>
              <w:rPr/>
              <w:t>183,000</w:t>
            </w:r>
          </w:p>
        </w:tc>
        <w:tc>
          <w:tcPr>
            <w:tcW w:w="75" w:type="dxa"/>
            <w:tcBorders/>
            <w:shd w:fill="CCEEFF" w:val="clear"/>
            <w:vAlign w:val="center"/>
          </w:tcPr>
          <w:p>
            <w:pPr>
              <w:pStyle w:val="TableContents"/>
              <w:bidi w:val="0"/>
              <w:spacing w:before="0" w:after="283"/>
              <w:ind w:left="0" w:right="0" w:hanging="240"/>
              <w:jc w:val="left"/>
              <w:rPr/>
            </w:pPr>
            <w:r>
              <w:rPr/>
              <w:t> </w:t>
            </w:r>
          </w:p>
        </w:tc>
      </w:tr>
      <w:tr>
        <w:trPr/>
        <w:tc>
          <w:tcPr>
            <w:tcW w:w="300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7" w:type="dxa"/>
            <w:tcBorders>
              <w:bottom w:val="double" w:sz="10" w:space="0" w:color="000000"/>
            </w:tcBorders>
            <w:shd w:fill="FFFFFF" w:val="clear"/>
            <w:tcMar>
              <w:bottom w:w="28" w:type="dxa"/>
            </w:tcMar>
            <w:vAlign w:val="center"/>
          </w:tcPr>
          <w:p>
            <w:pPr>
              <w:pStyle w:val="TableContents"/>
              <w:bidi w:val="0"/>
              <w:spacing w:before="0" w:after="283"/>
              <w:jc w:val="right"/>
              <w:rPr/>
            </w:pPr>
            <w:r>
              <w:rPr/>
              <w:t>523,090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2" w:name="a_031"/>
      <w:bookmarkEnd w:id="32"/>
      <w:r>
        <w:rPr>
          <w:rFonts w:ascii="Times New Roman;Times;Serif" w:hAnsi="Times New Roman;Times;Serif"/>
          <w:b/>
          <w:i w:val="false"/>
          <w:caps/>
          <w:sz w:val="20"/>
        </w:rPr>
        <w:t>LEGAL MATTERS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relating to U.S. law will be passed upon for us by Cooley LLP, New York, New York. Certain Canadian legal matters, including the legality of the Shares, will be passed upon for us by Osler, Hoskin &amp; Harcourt LLP, Ontario, Canada.</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33" w:name="a_032"/>
      <w:bookmarkEnd w:id="33"/>
      <w:r>
        <w:rPr>
          <w:rFonts w:ascii="Times New Roman;Times;Serif" w:hAnsi="Times New Roman;Times;Serif"/>
          <w:b/>
          <w:i w:val="false"/>
          <w:caps/>
          <w:sz w:val="20"/>
        </w:rPr>
        <w:t>EXPERTS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consolidated financial statements of Xanadu Quantum Technologies Inc., which comprise the consolidated balance sheets as of December 31, 2025 and December 31, 2024, the related consolidated statements of operations and comprehensive loss, shareholders’ equity and cash flows for each of the years in the three-year period ended December 31, 2025, have been included in this prospectus in reliance upon the report of KPMG LLP, independent registered public accounting firm, appearing elsewhere herein, and upon the authority of said firm as experts in accounting and auditing.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financial statements of Xanadu Quantum Technologies Limited, which comprise the balance sheet as of December 31, 2025, the related statements of operations and comprehensive loss, shareholders’ equity and cash flows for the period from October 2, 2025 (Inception) through December 31, 2025, have been included in this prospectus in reliance upon the report of KPMG LLP, independent registered public accounting firm, appearing elsewhere herein, and upon the authority of said firm as experts in accounting and auditing.</w:t>
      </w:r>
    </w:p>
    <w:p>
      <w:pPr>
        <w:pStyle w:val="TextBody"/>
        <w:bidi w:val="0"/>
        <w:spacing w:before="0" w:after="0"/>
        <w:ind w:left="0" w:right="0" w:firstLine="360"/>
        <w:jc w:val="both"/>
        <w:rPr>
          <w:caps w:val="false"/>
          <w:smallCaps w:val="false"/>
        </w:rPr>
      </w:pPr>
      <w:r>
        <w:rPr>
          <w:caps w:val="false"/>
          <w:smallCaps w:val="false"/>
        </w:rPr>
        <w:t> </w:t>
      </w: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171</w:t>
      </w:r>
    </w:p>
    <w:p>
      <w:pPr>
        <w:pStyle w:val="TextBody"/>
        <w:bidi w:val="0"/>
        <w:spacing w:before="0" w:after="0"/>
        <w:jc w:val="center"/>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34" w:name="a_033"/>
      <w:bookmarkEnd w:id="34"/>
      <w:r>
        <w:rPr>
          <w:rFonts w:ascii="Times New Roman;Times;Serif" w:hAnsi="Times New Roman;Times;Serif"/>
          <w:b/>
          <w:i w:val="false"/>
          <w:caps/>
          <w:sz w:val="20"/>
        </w:rPr>
        <w:t>SERVICE OF PROCESS AND ENFORCEABILITY OF CIVIL LIABILITIES</w:t>
        <w:br/>
        <w:t>UNDER U.S. SECURITIES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corporation incorporated under the laws of the Province of Ontario. Certain of our directors and executive officers reside outside the United States. The assets of those non-resident persons are located outside the United States. As a result, it may not be possible for investors to effect service of process within the United States upon us or those persons or to enforce against us or them, either inside or outside the United States, judgments obtained in U.S. courts, or to enforce in U.S. courts, judgments obtained against them in courts in jurisdictions outside the United States, in any action predicated upon civil liability provisions of the federal securities laws of the United States or other laws of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an agent upon whom process may be served in any action brought against us under the laws of the United States arising out of this offering or any purchase or sale of securities in connection with this offering. In addition, investors should not assume that the courts of Canada (i) would enforce judgments of U.S. courts obtained in actions against us, our officers or directors, or other said persons, predicated upon the civil liability provisions of the federal securities laws of the United States or other laws of the United States or (ii) would enforce, in original actions, liabilities against us or such directors, officers or experts predicated upon the federal securities laws of the United States or other laws of the United States. In addition, there is doubt as to the applicability of the civil liability provisions of federal securities laws of the United States to original actions instituted in Canada. It may be difficult for an investor, or any other person or entity, to assert U.S. securities laws claims in original actions instituted in Canada.</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35" w:name="a_034"/>
      <w:bookmarkEnd w:id="35"/>
      <w:r>
        <w:rPr>
          <w:rFonts w:ascii="Times New Roman;Times;Serif" w:hAnsi="Times New Roman;Times;Serif"/>
          <w:b/>
          <w:i w:val="false"/>
          <w:caps/>
          <w:sz w:val="20"/>
        </w:rPr>
        <w:t>WHERE YOU CAN FIND MORE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a registration statement on Form F-1, including exhibits, under the Securities Act with respect to the securities being offered by this prospectus. This prospectus does not contain all of the information included in the registration statement. For further information pertaining to us and our securities, you should refer to the registration statement and our exhibits.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informational requirements of the Exchange Act applicable to foreign private issuers. Accordingly, we will be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t>
      </w:r>
      <w:r>
        <w:rPr>
          <w:rFonts w:ascii="Times New Roman;Times;Serif" w:hAnsi="Times New Roman;Times;Serif"/>
          <w:b w:val="false"/>
          <w:i/>
          <w:caps w:val="false"/>
          <w:smallCaps w:val="false"/>
          <w:sz w:val="20"/>
          <w:u w:val="single"/>
        </w:rPr>
        <w:t>www.sec.gov</w:t>
      </w:r>
      <w:r>
        <w:rPr>
          <w:rFonts w:ascii="Times New Roman;Times;Serif" w:hAnsi="Times New Roman;Times;Serif"/>
          <w:b w:val="false"/>
          <w:i w:val="false"/>
          <w:caps w:val="false"/>
          <w:smallCaps w:val="false"/>
          <w:sz w:val="20"/>
        </w:rPr>
        <w:t>. Additional information is also filed with Canadian Securities Administrators (www.sedarplus.ca).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and our officers, directors and principal shareholders are exempt from the short-swing profit recovery provisions contained in Section 16 of the Exchange Act with respect to their purchase and sale of our Class B Subordinate Voting Shares. In addition, we will not be required under the Exchange Act to file periodic reports and financial statements with the SEC as frequently or as promptly as U.S. companies whose securities are registered under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send our transfer agent a copy of all notices of shareholders’ meetings and other reports, communications and information that are made generally available to shareholders. The transfer agent has agreed to mail to all shareholders a notice containing the information (or a summary of the information) contained in any notice of a meeting of our shareholders received by the transfer agent and will make available to all shareholders such notices and all such other reports and communications received by the transfer agent.</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172</w:t>
      </w:r>
    </w:p>
    <w:p>
      <w:pPr>
        <w:pStyle w:val="TextBody"/>
        <w:bidi w:val="0"/>
        <w:spacing w:before="0" w:after="0"/>
        <w:jc w:val="center"/>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36" w:name="a_035"/>
      <w:bookmarkEnd w:id="36"/>
      <w:r>
        <w:rPr>
          <w:rFonts w:ascii="Times New Roman;Times;Serif" w:hAnsi="Times New Roman;Times;Serif"/>
          <w:b/>
          <w:i w:val="false"/>
          <w:caps/>
          <w:sz w:val="20"/>
        </w:rPr>
        <w:t>INDEX TO CONSOLIDATED FINANCIAL INFORMATION</w:t>
      </w:r>
    </w:p>
    <w:p>
      <w:pPr>
        <w:pStyle w:val="TextBody"/>
        <w:bidi w:val="0"/>
        <w:spacing w:before="0" w:after="0"/>
        <w:ind w:left="0" w:right="0" w:hanging="0"/>
        <w:jc w:val="center"/>
        <w:rPr>
          <w:caps/>
        </w:rPr>
      </w:pPr>
      <w:r>
        <w:rPr>
          <w:caps/>
        </w:rPr>
        <w:t> </w:t>
      </w:r>
    </w:p>
    <w:tbl>
      <w:tblPr>
        <w:tblW w:w="10205" w:type="dxa"/>
        <w:jc w:val="left"/>
        <w:tblInd w:w="0" w:type="dxa"/>
        <w:shd w:fill="FFFFFF" w:val="clear"/>
        <w:tblLayout w:type="fixed"/>
        <w:tblCellMar>
          <w:top w:w="0" w:type="dxa"/>
          <w:left w:w="0" w:type="dxa"/>
          <w:bottom w:w="0" w:type="dxa"/>
          <w:right w:w="0" w:type="dxa"/>
        </w:tblCellMar>
      </w:tblPr>
      <w:tblGrid>
        <w:gridCol w:w="9758"/>
        <w:gridCol w:w="60"/>
        <w:gridCol w:w="387"/>
      </w:tblGrid>
      <w:tr>
        <w:trPr/>
        <w:tc>
          <w:tcPr>
            <w:tcW w:w="97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7" w:type="dxa"/>
            <w:tcBorders>
              <w:bottom w:val="single" w:sz="12" w:space="0" w:color="000000"/>
            </w:tcBorders>
            <w:shd w:fill="FFFFFF" w:val="clear"/>
            <w:tcMar>
              <w:bottom w:w="28" w:type="dxa"/>
            </w:tcMar>
            <w:vAlign w:val="center"/>
          </w:tcPr>
          <w:p>
            <w:pPr>
              <w:pStyle w:val="TableContents"/>
              <w:bidi w:val="0"/>
              <w:spacing w:before="0" w:after="283"/>
              <w:ind w:left="0" w:right="0" w:hanging="180"/>
              <w:jc w:val="center"/>
              <w:rPr>
                <w:b/>
                <w:sz w:val="20"/>
              </w:rPr>
            </w:pPr>
            <w:r>
              <w:rPr>
                <w:b/>
                <w:sz w:val="20"/>
              </w:rPr>
              <w:t>Page</w:t>
            </w:r>
          </w:p>
        </w:tc>
      </w:tr>
      <w:tr>
        <w:trPr/>
        <w:tc>
          <w:tcPr>
            <w:tcW w:w="9758" w:type="dxa"/>
            <w:tcBorders/>
            <w:shd w:fill="CCEEFF" w:val="clear"/>
            <w:vAlign w:val="center"/>
          </w:tcPr>
          <w:p>
            <w:pPr>
              <w:pStyle w:val="TableContents"/>
              <w:bidi w:val="0"/>
              <w:spacing w:before="0" w:after="283"/>
              <w:jc w:val="left"/>
              <w:rPr>
                <w:b/>
                <w:sz w:val="20"/>
              </w:rPr>
            </w:pPr>
            <w:r>
              <w:rPr>
                <w:b/>
                <w:sz w:val="20"/>
              </w:rPr>
              <w:t>Audited Financial Statements of Xanadu Quantum Technologies Limited as of December 31, 2025 and for the period from October 2, 2025 (Inception) through December 31, 2025</w:t>
            </w:r>
          </w:p>
        </w:tc>
        <w:tc>
          <w:tcPr>
            <w:tcW w:w="60"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ind w:left="0" w:right="0" w:hanging="180"/>
              <w:jc w:val="center"/>
              <w:rPr/>
            </w:pPr>
            <w:r>
              <w:rPr/>
              <w:t> </w:t>
            </w:r>
          </w:p>
        </w:tc>
      </w:tr>
      <w:tr>
        <w:trPr/>
        <w:tc>
          <w:tcPr>
            <w:tcW w:w="9758" w:type="dxa"/>
            <w:tcBorders/>
            <w:shd w:fill="FFFFFF" w:val="clear"/>
            <w:vAlign w:val="center"/>
          </w:tcPr>
          <w:p>
            <w:pPr>
              <w:pStyle w:val="TableContents"/>
              <w:bidi w:val="0"/>
              <w:spacing w:before="0" w:after="283"/>
              <w:jc w:val="left"/>
              <w:rPr/>
            </w:pPr>
            <w:hyperlink w:anchor="k_001">
              <w:r>
                <w:rPr>
                  <w:rStyle w:val="InternetLink"/>
                  <w:sz w:val="20"/>
                </w:rPr>
                <w:t>Report of Independent Registered Public Accounting Firm (KPMG LLP, Toronto, ON, Canada, Auditor Firm ID: 85)</w:t>
              </w:r>
            </w:hyperlink>
          </w:p>
        </w:tc>
        <w:tc>
          <w:tcPr>
            <w:tcW w:w="60"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ind w:left="0" w:right="0" w:hanging="180"/>
              <w:jc w:val="center"/>
              <w:rPr>
                <w:sz w:val="20"/>
              </w:rPr>
            </w:pPr>
            <w:r>
              <w:rPr>
                <w:sz w:val="20"/>
              </w:rPr>
              <w:t>F-2</w:t>
            </w:r>
          </w:p>
        </w:tc>
      </w:tr>
      <w:tr>
        <w:trPr/>
        <w:tc>
          <w:tcPr>
            <w:tcW w:w="9758" w:type="dxa"/>
            <w:tcBorders/>
            <w:shd w:fill="CCEEFF" w:val="clear"/>
            <w:vAlign w:val="center"/>
          </w:tcPr>
          <w:p>
            <w:pPr>
              <w:pStyle w:val="TableContents"/>
              <w:bidi w:val="0"/>
              <w:spacing w:before="0" w:after="283"/>
              <w:jc w:val="left"/>
              <w:rPr/>
            </w:pPr>
            <w:hyperlink w:anchor="k_002">
              <w:r>
                <w:rPr>
                  <w:rStyle w:val="InternetLink"/>
                  <w:sz w:val="20"/>
                </w:rPr>
                <w:t>Balance Sheet</w:t>
              </w:r>
            </w:hyperlink>
          </w:p>
        </w:tc>
        <w:tc>
          <w:tcPr>
            <w:tcW w:w="60"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ind w:left="0" w:right="0" w:hanging="180"/>
              <w:jc w:val="center"/>
              <w:rPr>
                <w:sz w:val="20"/>
              </w:rPr>
            </w:pPr>
            <w:r>
              <w:rPr>
                <w:sz w:val="20"/>
              </w:rPr>
              <w:t>F-3</w:t>
            </w:r>
          </w:p>
        </w:tc>
      </w:tr>
      <w:tr>
        <w:trPr/>
        <w:tc>
          <w:tcPr>
            <w:tcW w:w="9758" w:type="dxa"/>
            <w:tcBorders/>
            <w:shd w:fill="FFFFFF" w:val="clear"/>
            <w:vAlign w:val="center"/>
          </w:tcPr>
          <w:p>
            <w:pPr>
              <w:pStyle w:val="TableContents"/>
              <w:bidi w:val="0"/>
              <w:spacing w:before="0" w:after="283"/>
              <w:jc w:val="left"/>
              <w:rPr/>
            </w:pPr>
            <w:hyperlink w:anchor="k_003">
              <w:r>
                <w:rPr>
                  <w:rStyle w:val="InternetLink"/>
                  <w:sz w:val="20"/>
                </w:rPr>
                <w:t>Statement of Operations and Comprehensive Loss</w:t>
              </w:r>
            </w:hyperlink>
          </w:p>
        </w:tc>
        <w:tc>
          <w:tcPr>
            <w:tcW w:w="60"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ind w:left="0" w:right="0" w:hanging="180"/>
              <w:jc w:val="center"/>
              <w:rPr>
                <w:sz w:val="20"/>
              </w:rPr>
            </w:pPr>
            <w:r>
              <w:rPr>
                <w:sz w:val="20"/>
              </w:rPr>
              <w:t>F-4</w:t>
            </w:r>
          </w:p>
        </w:tc>
      </w:tr>
      <w:tr>
        <w:trPr/>
        <w:tc>
          <w:tcPr>
            <w:tcW w:w="9758" w:type="dxa"/>
            <w:tcBorders/>
            <w:shd w:fill="CCEEFF" w:val="clear"/>
            <w:vAlign w:val="center"/>
          </w:tcPr>
          <w:p>
            <w:pPr>
              <w:pStyle w:val="TableContents"/>
              <w:bidi w:val="0"/>
              <w:spacing w:before="0" w:after="283"/>
              <w:jc w:val="left"/>
              <w:rPr/>
            </w:pPr>
            <w:hyperlink w:anchor="k_004">
              <w:r>
                <w:rPr>
                  <w:rStyle w:val="InternetLink"/>
                  <w:sz w:val="20"/>
                </w:rPr>
                <w:t>Statement of Changes in Equity</w:t>
              </w:r>
            </w:hyperlink>
          </w:p>
        </w:tc>
        <w:tc>
          <w:tcPr>
            <w:tcW w:w="60"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ind w:left="0" w:right="0" w:hanging="180"/>
              <w:jc w:val="center"/>
              <w:rPr>
                <w:sz w:val="20"/>
              </w:rPr>
            </w:pPr>
            <w:r>
              <w:rPr>
                <w:sz w:val="20"/>
              </w:rPr>
              <w:t>F-5</w:t>
            </w:r>
          </w:p>
        </w:tc>
      </w:tr>
      <w:tr>
        <w:trPr/>
        <w:tc>
          <w:tcPr>
            <w:tcW w:w="9758" w:type="dxa"/>
            <w:tcBorders/>
            <w:shd w:fill="FFFFFF" w:val="clear"/>
            <w:vAlign w:val="center"/>
          </w:tcPr>
          <w:p>
            <w:pPr>
              <w:pStyle w:val="TableContents"/>
              <w:bidi w:val="0"/>
              <w:spacing w:before="0" w:after="283"/>
              <w:jc w:val="left"/>
              <w:rPr/>
            </w:pPr>
            <w:hyperlink w:anchor="k_005">
              <w:r>
                <w:rPr>
                  <w:rStyle w:val="InternetLink"/>
                  <w:sz w:val="20"/>
                </w:rPr>
                <w:t>Statement of Cash Flows</w:t>
              </w:r>
            </w:hyperlink>
          </w:p>
        </w:tc>
        <w:tc>
          <w:tcPr>
            <w:tcW w:w="60"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ind w:left="0" w:right="0" w:hanging="180"/>
              <w:jc w:val="center"/>
              <w:rPr>
                <w:sz w:val="20"/>
              </w:rPr>
            </w:pPr>
            <w:r>
              <w:rPr>
                <w:sz w:val="20"/>
              </w:rPr>
              <w:t>F-6</w:t>
            </w:r>
          </w:p>
        </w:tc>
      </w:tr>
      <w:tr>
        <w:trPr/>
        <w:tc>
          <w:tcPr>
            <w:tcW w:w="9758" w:type="dxa"/>
            <w:tcBorders/>
            <w:shd w:fill="CCEEFF" w:val="clear"/>
            <w:vAlign w:val="center"/>
          </w:tcPr>
          <w:p>
            <w:pPr>
              <w:pStyle w:val="TableContents"/>
              <w:bidi w:val="0"/>
              <w:spacing w:before="0" w:after="283"/>
              <w:jc w:val="left"/>
              <w:rPr/>
            </w:pPr>
            <w:hyperlink w:anchor="k_006">
              <w:r>
                <w:rPr>
                  <w:rStyle w:val="InternetLink"/>
                  <w:sz w:val="20"/>
                </w:rPr>
                <w:t>Notes to Financial Statements</w:t>
              </w:r>
            </w:hyperlink>
          </w:p>
        </w:tc>
        <w:tc>
          <w:tcPr>
            <w:tcW w:w="60"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ind w:left="0" w:right="0" w:hanging="180"/>
              <w:jc w:val="center"/>
              <w:rPr>
                <w:sz w:val="20"/>
              </w:rPr>
            </w:pPr>
            <w:r>
              <w:rPr>
                <w:sz w:val="20"/>
              </w:rPr>
              <w:t>F-7</w:t>
            </w:r>
          </w:p>
        </w:tc>
      </w:tr>
      <w:tr>
        <w:trPr/>
        <w:tc>
          <w:tcPr>
            <w:tcW w:w="97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ind w:left="0" w:right="0" w:hanging="180"/>
              <w:jc w:val="center"/>
              <w:rPr/>
            </w:pPr>
            <w:r>
              <w:rPr/>
              <w:t> </w:t>
            </w:r>
          </w:p>
        </w:tc>
      </w:tr>
      <w:tr>
        <w:trPr/>
        <w:tc>
          <w:tcPr>
            <w:tcW w:w="9758"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Unaudited Condensed Consolidated Financial Statements of Xanadu Quantum Technologies Limited as of March 31, 2026 and December 31, 2025 and for the three months ended March 31, 2026 and 2025 </w:t>
            </w:r>
          </w:p>
        </w:tc>
        <w:tc>
          <w:tcPr>
            <w:tcW w:w="60"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ind w:left="0" w:right="0" w:hanging="180"/>
              <w:jc w:val="center"/>
              <w:rPr/>
            </w:pPr>
            <w:r>
              <w:rPr/>
              <w:t> </w:t>
            </w:r>
          </w:p>
        </w:tc>
      </w:tr>
      <w:tr>
        <w:trPr/>
        <w:tc>
          <w:tcPr>
            <w:tcW w:w="9758" w:type="dxa"/>
            <w:tcBorders/>
            <w:shd w:fill="FFFFFF" w:val="clear"/>
            <w:vAlign w:val="center"/>
          </w:tcPr>
          <w:p>
            <w:pPr>
              <w:pStyle w:val="TableContents"/>
              <w:bidi w:val="0"/>
              <w:spacing w:before="0" w:after="283"/>
              <w:jc w:val="left"/>
              <w:rPr/>
            </w:pPr>
            <w:hyperlink w:anchor="k_007">
              <w:r>
                <w:rPr>
                  <w:rStyle w:val="InternetLink"/>
                  <w:rFonts w:ascii="Times New Roman;Times;Serif" w:hAnsi="Times New Roman;Times;Serif"/>
                  <w:sz w:val="20"/>
                </w:rPr>
                <w:t>Consolidated Balance Sheet</w:t>
              </w:r>
            </w:hyperlink>
          </w:p>
        </w:tc>
        <w:tc>
          <w:tcPr>
            <w:tcW w:w="60"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F-13</w:t>
            </w:r>
          </w:p>
        </w:tc>
      </w:tr>
      <w:tr>
        <w:trPr/>
        <w:tc>
          <w:tcPr>
            <w:tcW w:w="9758" w:type="dxa"/>
            <w:tcBorders/>
            <w:shd w:fill="CCEEFF" w:val="clear"/>
            <w:vAlign w:val="center"/>
          </w:tcPr>
          <w:p>
            <w:pPr>
              <w:pStyle w:val="TableContents"/>
              <w:bidi w:val="0"/>
              <w:spacing w:before="0" w:after="283"/>
              <w:jc w:val="left"/>
              <w:rPr/>
            </w:pPr>
            <w:hyperlink w:anchor="k_008">
              <w:r>
                <w:rPr>
                  <w:rStyle w:val="InternetLink"/>
                  <w:rFonts w:ascii="Times New Roman;Times;Serif" w:hAnsi="Times New Roman;Times;Serif"/>
                  <w:sz w:val="20"/>
                </w:rPr>
                <w:t>Consolidated Statement of Operations and Comprehensive Loss</w:t>
              </w:r>
            </w:hyperlink>
          </w:p>
        </w:tc>
        <w:tc>
          <w:tcPr>
            <w:tcW w:w="60"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F-14</w:t>
            </w:r>
          </w:p>
        </w:tc>
      </w:tr>
      <w:tr>
        <w:trPr/>
        <w:tc>
          <w:tcPr>
            <w:tcW w:w="9758" w:type="dxa"/>
            <w:tcBorders/>
            <w:shd w:fill="FFFFFF" w:val="clear"/>
            <w:vAlign w:val="center"/>
          </w:tcPr>
          <w:p>
            <w:pPr>
              <w:pStyle w:val="TableContents"/>
              <w:bidi w:val="0"/>
              <w:spacing w:before="0" w:after="283"/>
              <w:jc w:val="left"/>
              <w:rPr/>
            </w:pPr>
            <w:hyperlink w:anchor="k_009">
              <w:r>
                <w:rPr>
                  <w:rStyle w:val="InternetLink"/>
                </w:rPr>
                <w:t>Consolidated Statement of Cash Flows</w:t>
              </w:r>
            </w:hyperlink>
          </w:p>
        </w:tc>
        <w:tc>
          <w:tcPr>
            <w:tcW w:w="60"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ind w:left="0" w:right="0" w:hanging="180"/>
              <w:jc w:val="center"/>
              <w:rPr/>
            </w:pPr>
            <w:r>
              <w:rPr/>
              <w:t>F-15</w:t>
            </w:r>
          </w:p>
        </w:tc>
      </w:tr>
      <w:tr>
        <w:trPr/>
        <w:tc>
          <w:tcPr>
            <w:tcW w:w="9758" w:type="dxa"/>
            <w:tcBorders/>
            <w:shd w:fill="CCEEFF" w:val="clear"/>
            <w:vAlign w:val="center"/>
          </w:tcPr>
          <w:p>
            <w:pPr>
              <w:pStyle w:val="TableContents"/>
              <w:bidi w:val="0"/>
              <w:spacing w:before="0" w:after="283"/>
              <w:jc w:val="left"/>
              <w:rPr/>
            </w:pPr>
            <w:hyperlink w:anchor="k_010">
              <w:r>
                <w:rPr>
                  <w:rStyle w:val="InternetLink"/>
                </w:rPr>
                <w:t xml:space="preserve">Condensed </w:t>
              </w:r>
            </w:hyperlink>
            <w:hyperlink w:anchor="k_010">
              <w:r>
                <w:rPr>
                  <w:rStyle w:val="InternetLink"/>
                  <w:rFonts w:ascii="Times New Roman;Times;Serif" w:hAnsi="Times New Roman;Times;Serif"/>
                  <w:sz w:val="20"/>
                </w:rPr>
                <w:t>Consolidated Statement of Changes in Equity</w:t>
              </w:r>
            </w:hyperlink>
          </w:p>
        </w:tc>
        <w:tc>
          <w:tcPr>
            <w:tcW w:w="60"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F-16</w:t>
            </w:r>
          </w:p>
        </w:tc>
      </w:tr>
      <w:tr>
        <w:trPr/>
        <w:tc>
          <w:tcPr>
            <w:tcW w:w="9758" w:type="dxa"/>
            <w:tcBorders/>
            <w:shd w:fill="FFFFFF" w:val="clear"/>
            <w:vAlign w:val="center"/>
          </w:tcPr>
          <w:p>
            <w:pPr>
              <w:pStyle w:val="TableContents"/>
              <w:bidi w:val="0"/>
              <w:spacing w:before="0" w:after="283"/>
              <w:jc w:val="left"/>
              <w:rPr/>
            </w:pPr>
            <w:hyperlink w:anchor="k_011">
              <w:r>
                <w:rPr>
                  <w:rStyle w:val="InternetLink"/>
                  <w:rFonts w:ascii="Times New Roman;Times;Serif" w:hAnsi="Times New Roman;Times;Serif"/>
                  <w:sz w:val="20"/>
                </w:rPr>
                <w:t>Notes to Condensed Consolidated Financial Statements</w:t>
              </w:r>
            </w:hyperlink>
          </w:p>
        </w:tc>
        <w:tc>
          <w:tcPr>
            <w:tcW w:w="60"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F-18</w:t>
            </w:r>
          </w:p>
        </w:tc>
      </w:tr>
      <w:tr>
        <w:trPr/>
        <w:tc>
          <w:tcPr>
            <w:tcW w:w="97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ind w:left="0" w:right="0" w:hanging="180"/>
              <w:jc w:val="center"/>
              <w:rPr/>
            </w:pPr>
            <w:r>
              <w:rPr/>
              <w:t> </w:t>
            </w:r>
          </w:p>
        </w:tc>
      </w:tr>
      <w:tr>
        <w:trPr/>
        <w:tc>
          <w:tcPr>
            <w:tcW w:w="9758" w:type="dxa"/>
            <w:tcBorders/>
            <w:shd w:fill="FFFFFF" w:val="clear"/>
            <w:vAlign w:val="center"/>
          </w:tcPr>
          <w:p>
            <w:pPr>
              <w:pStyle w:val="TableContents"/>
              <w:bidi w:val="0"/>
              <w:spacing w:before="0" w:after="283"/>
              <w:jc w:val="left"/>
              <w:rPr>
                <w:b/>
                <w:sz w:val="20"/>
              </w:rPr>
            </w:pPr>
            <w:r>
              <w:rPr>
                <w:b/>
                <w:sz w:val="20"/>
              </w:rPr>
              <w:t>Audited Financial Statements of Xanadu Quantum Technologies Inc. as of December 31, 2025 and 2024, and for each of the years in the three-years ended December 31, 2025</w:t>
            </w:r>
          </w:p>
        </w:tc>
        <w:tc>
          <w:tcPr>
            <w:tcW w:w="60"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ind w:left="0" w:right="0" w:hanging="180"/>
              <w:jc w:val="center"/>
              <w:rPr/>
            </w:pPr>
            <w:r>
              <w:rPr/>
              <w:t> </w:t>
            </w:r>
          </w:p>
        </w:tc>
      </w:tr>
      <w:tr>
        <w:trPr/>
        <w:tc>
          <w:tcPr>
            <w:tcW w:w="97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ind w:left="0" w:right="0" w:hanging="180"/>
              <w:jc w:val="center"/>
              <w:rPr/>
            </w:pPr>
            <w:r>
              <w:rPr/>
              <w:t> </w:t>
            </w:r>
          </w:p>
        </w:tc>
      </w:tr>
      <w:tr>
        <w:trPr/>
        <w:tc>
          <w:tcPr>
            <w:tcW w:w="9758" w:type="dxa"/>
            <w:tcBorders/>
            <w:shd w:fill="FFFFFF" w:val="clear"/>
            <w:vAlign w:val="center"/>
          </w:tcPr>
          <w:p>
            <w:pPr>
              <w:pStyle w:val="TableContents"/>
              <w:bidi w:val="0"/>
              <w:spacing w:before="0" w:after="283"/>
              <w:jc w:val="left"/>
              <w:rPr/>
            </w:pPr>
            <w:hyperlink w:anchor="k_012">
              <w:r>
                <w:rPr>
                  <w:rStyle w:val="InternetLink"/>
                  <w:sz w:val="20"/>
                </w:rPr>
                <w:t>Report of Independent Registered Public Accounting Firm (KPMG LLP, Toronto, ON, Canada, Auditor Firm ID: 85)</w:t>
              </w:r>
            </w:hyperlink>
          </w:p>
        </w:tc>
        <w:tc>
          <w:tcPr>
            <w:tcW w:w="60"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ind w:left="0" w:right="0" w:hanging="180"/>
              <w:jc w:val="center"/>
              <w:rPr>
                <w:sz w:val="20"/>
              </w:rPr>
            </w:pPr>
            <w:r>
              <w:rPr>
                <w:sz w:val="20"/>
              </w:rPr>
              <w:t>F-43</w:t>
            </w:r>
          </w:p>
        </w:tc>
      </w:tr>
      <w:tr>
        <w:trPr/>
        <w:tc>
          <w:tcPr>
            <w:tcW w:w="9758" w:type="dxa"/>
            <w:tcBorders/>
            <w:shd w:fill="CCEEFF" w:val="clear"/>
            <w:vAlign w:val="center"/>
          </w:tcPr>
          <w:p>
            <w:pPr>
              <w:pStyle w:val="TableContents"/>
              <w:bidi w:val="0"/>
              <w:spacing w:before="0" w:after="283"/>
              <w:jc w:val="left"/>
              <w:rPr/>
            </w:pPr>
            <w:hyperlink w:anchor="k_013">
              <w:r>
                <w:rPr>
                  <w:rStyle w:val="InternetLink"/>
                  <w:sz w:val="20"/>
                </w:rPr>
                <w:t>Consolidated Balance Sheets</w:t>
              </w:r>
            </w:hyperlink>
          </w:p>
        </w:tc>
        <w:tc>
          <w:tcPr>
            <w:tcW w:w="60"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ind w:left="0" w:right="0" w:hanging="180"/>
              <w:jc w:val="center"/>
              <w:rPr>
                <w:sz w:val="20"/>
              </w:rPr>
            </w:pPr>
            <w:r>
              <w:rPr>
                <w:sz w:val="20"/>
              </w:rPr>
              <w:t>F-44</w:t>
            </w:r>
          </w:p>
        </w:tc>
      </w:tr>
      <w:tr>
        <w:trPr/>
        <w:tc>
          <w:tcPr>
            <w:tcW w:w="9758" w:type="dxa"/>
            <w:tcBorders/>
            <w:shd w:fill="FFFFFF" w:val="clear"/>
            <w:vAlign w:val="center"/>
          </w:tcPr>
          <w:p>
            <w:pPr>
              <w:pStyle w:val="TableContents"/>
              <w:bidi w:val="0"/>
              <w:spacing w:before="0" w:after="283"/>
              <w:jc w:val="left"/>
              <w:rPr/>
            </w:pPr>
            <w:hyperlink w:anchor="k_014">
              <w:r>
                <w:rPr>
                  <w:rStyle w:val="InternetLink"/>
                  <w:sz w:val="20"/>
                </w:rPr>
                <w:t>Consolidated Statements of Operations and Comprehensive Loss</w:t>
              </w:r>
            </w:hyperlink>
          </w:p>
        </w:tc>
        <w:tc>
          <w:tcPr>
            <w:tcW w:w="60"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ind w:left="0" w:right="0" w:hanging="180"/>
              <w:jc w:val="center"/>
              <w:rPr>
                <w:sz w:val="20"/>
              </w:rPr>
            </w:pPr>
            <w:r>
              <w:rPr>
                <w:sz w:val="20"/>
              </w:rPr>
              <w:t>F-45</w:t>
            </w:r>
          </w:p>
        </w:tc>
      </w:tr>
      <w:tr>
        <w:trPr/>
        <w:tc>
          <w:tcPr>
            <w:tcW w:w="9758" w:type="dxa"/>
            <w:tcBorders/>
            <w:shd w:fill="CCEEFF" w:val="clear"/>
            <w:vAlign w:val="center"/>
          </w:tcPr>
          <w:p>
            <w:pPr>
              <w:pStyle w:val="TableContents"/>
              <w:bidi w:val="0"/>
              <w:spacing w:before="0" w:after="283"/>
              <w:jc w:val="left"/>
              <w:rPr/>
            </w:pPr>
            <w:hyperlink w:anchor="k_015">
              <w:r>
                <w:rPr>
                  <w:rStyle w:val="InternetLink"/>
                  <w:sz w:val="20"/>
                </w:rPr>
                <w:t>Consolidated Statements of Shareholders’ Equity</w:t>
              </w:r>
            </w:hyperlink>
          </w:p>
        </w:tc>
        <w:tc>
          <w:tcPr>
            <w:tcW w:w="60"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ind w:left="0" w:right="0" w:hanging="180"/>
              <w:jc w:val="center"/>
              <w:rPr>
                <w:sz w:val="20"/>
              </w:rPr>
            </w:pPr>
            <w:r>
              <w:rPr>
                <w:sz w:val="20"/>
              </w:rPr>
              <w:t>F-46</w:t>
            </w:r>
          </w:p>
        </w:tc>
      </w:tr>
      <w:tr>
        <w:trPr/>
        <w:tc>
          <w:tcPr>
            <w:tcW w:w="9758" w:type="dxa"/>
            <w:tcBorders/>
            <w:shd w:fill="FFFFFF" w:val="clear"/>
            <w:vAlign w:val="center"/>
          </w:tcPr>
          <w:p>
            <w:pPr>
              <w:pStyle w:val="TableContents"/>
              <w:bidi w:val="0"/>
              <w:spacing w:before="0" w:after="283"/>
              <w:jc w:val="left"/>
              <w:rPr/>
            </w:pPr>
            <w:hyperlink w:anchor="k_016">
              <w:r>
                <w:rPr>
                  <w:rStyle w:val="InternetLink"/>
                  <w:sz w:val="20"/>
                </w:rPr>
                <w:t>Consolidated Statements of Cash Flows</w:t>
              </w:r>
            </w:hyperlink>
          </w:p>
        </w:tc>
        <w:tc>
          <w:tcPr>
            <w:tcW w:w="60"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ind w:left="0" w:right="0" w:hanging="180"/>
              <w:jc w:val="center"/>
              <w:rPr>
                <w:sz w:val="20"/>
              </w:rPr>
            </w:pPr>
            <w:r>
              <w:rPr>
                <w:sz w:val="20"/>
              </w:rPr>
              <w:t>F-47</w:t>
            </w:r>
          </w:p>
        </w:tc>
      </w:tr>
      <w:tr>
        <w:trPr/>
        <w:tc>
          <w:tcPr>
            <w:tcW w:w="9758" w:type="dxa"/>
            <w:tcBorders/>
            <w:shd w:fill="CCEEFF" w:val="clear"/>
            <w:vAlign w:val="center"/>
          </w:tcPr>
          <w:p>
            <w:pPr>
              <w:pStyle w:val="TableContents"/>
              <w:bidi w:val="0"/>
              <w:spacing w:before="0" w:after="283"/>
              <w:jc w:val="left"/>
              <w:rPr/>
            </w:pPr>
            <w:hyperlink w:anchor="k_017">
              <w:r>
                <w:rPr>
                  <w:rStyle w:val="InternetLink"/>
                  <w:sz w:val="20"/>
                </w:rPr>
                <w:t>Notes to the Consolidated Financial Statements</w:t>
              </w:r>
            </w:hyperlink>
          </w:p>
        </w:tc>
        <w:tc>
          <w:tcPr>
            <w:tcW w:w="60"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jc w:val="center"/>
              <w:rPr>
                <w:sz w:val="20"/>
              </w:rPr>
            </w:pPr>
            <w:r>
              <w:rPr>
                <w:sz w:val="20"/>
              </w:rPr>
              <w:t>F-48</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k_001"/>
      <w:bookmarkEnd w:id="37"/>
      <w:r>
        <w:rPr>
          <w:rFonts w:ascii="Times New Roman;Times;Serif" w:hAnsi="Times New Roman;Times;Serif"/>
          <w:b/>
          <w:i w:val="false"/>
          <w:caps w:val="false"/>
          <w:smallCaps w:val="false"/>
          <w:sz w:val="20"/>
        </w:rPr>
        <w:t>XANADU QUANTUM TECHNOLOGIES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the Board of Directors</w:t>
        <w:br/>
        <w:t>Xanadu Quantum Technologies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balance sheet of Xanadu Quantum Technologies Limited (the “Company”) as of December 31, 2025, the related statement of operations and comprehensive loss, shareholders’ equity, and cash flows for the period from October 2, 2025 (Inception) through December 31, 2025, and the related notes (collectively, the “financial statements”). In our opinion, the financial statements present fairly, in all material respects, the financial position of the Company as of December 31, 2025, and the results of its operations and its cash flows for the period from October 2, 2025 (Inception) through December 31, 2025, in conformity with U.S.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KPMG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Chartered Professional Accountants, Licensed Public Accountants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Toronto, Canada</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April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8" w:name="k_002"/>
      <w:bookmarkEnd w:id="38"/>
      <w:r>
        <w:rPr>
          <w:rFonts w:ascii="Times New Roman;Times;Serif" w:hAnsi="Times New Roman;Times;Serif"/>
          <w:b/>
          <w:i w:val="false"/>
          <w:smallCaps/>
          <w:sz w:val="20"/>
        </w:rPr>
        <w:t>Xanadu Quantum Technologies Limited</w:t>
      </w:r>
      <w:r>
        <w:rPr>
          <w:rFonts w:ascii="Times New Roman;Times;Serif" w:hAnsi="Times New Roman;Times;Serif"/>
          <w:b/>
          <w:i w:val="false"/>
          <w:caps w:val="false"/>
          <w:smallCaps w:val="false"/>
          <w:sz w:val="20"/>
        </w:rPr>
        <w:br/>
        <w:t>Balance Sheet</w:t>
        <w:br/>
        <w:t>(In thousands, except for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875"/>
        <w:gridCol w:w="60"/>
        <w:gridCol w:w="240"/>
        <w:gridCol w:w="935"/>
        <w:gridCol w:w="95"/>
      </w:tblGrid>
      <w:tr>
        <w:trPr/>
        <w:tc>
          <w:tcPr>
            <w:tcW w:w="8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December 31,</w:t>
              <w:br/>
              <w:t>2025</w:t>
            </w:r>
          </w:p>
        </w:tc>
        <w:tc>
          <w:tcPr>
            <w:tcW w:w="95" w:type="dxa"/>
            <w:tcBorders/>
            <w:vAlign w:val="center"/>
          </w:tcPr>
          <w:p>
            <w:pPr>
              <w:pStyle w:val="TableContents"/>
              <w:bidi w:val="0"/>
              <w:spacing w:before="0" w:after="283"/>
              <w:ind w:left="0" w:right="0" w:hanging="200"/>
              <w:jc w:val="left"/>
              <w:rPr/>
            </w:pPr>
            <w:r>
              <w:rPr/>
              <w:t> </w:t>
            </w:r>
          </w:p>
        </w:tc>
      </w:tr>
      <w:tr>
        <w:trPr/>
        <w:tc>
          <w:tcPr>
            <w:tcW w:w="8875" w:type="dxa"/>
            <w:tcBorders/>
            <w:shd w:fill="FFFFFF" w:val="clear"/>
            <w:vAlign w:val="center"/>
          </w:tcPr>
          <w:p>
            <w:pPr>
              <w:pStyle w:val="TableContents"/>
              <w:bidi w:val="0"/>
              <w:spacing w:before="0" w:after="283"/>
              <w:jc w:val="left"/>
              <w:rPr>
                <w:b/>
                <w:sz w:val="20"/>
              </w:rPr>
            </w:pPr>
            <w:r>
              <w:rPr>
                <w:b/>
                <w:sz w:val="20"/>
              </w:rPr>
              <w:t>Assets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200"/>
              <w:jc w:val="left"/>
              <w:rPr/>
            </w:pPr>
            <w:r>
              <w:rPr/>
              <w:t> </w:t>
            </w:r>
          </w:p>
        </w:tc>
      </w:tr>
      <w:tr>
        <w:trPr/>
        <w:tc>
          <w:tcPr>
            <w:tcW w:w="8875" w:type="dxa"/>
            <w:tcBorders/>
            <w:shd w:fill="FFFFFF" w:val="clear"/>
            <w:vAlign w:val="center"/>
          </w:tcPr>
          <w:p>
            <w:pPr>
              <w:pStyle w:val="TableContents"/>
              <w:bidi w:val="0"/>
              <w:spacing w:before="0" w:after="283"/>
              <w:jc w:val="left"/>
              <w:rPr>
                <w:sz w:val="20"/>
              </w:rPr>
            </w:pPr>
            <w:r>
              <w:rPr>
                <w:sz w:val="20"/>
              </w:rPr>
              <w:t>Current assets: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200"/>
              <w:jc w:val="left"/>
              <w:rPr/>
            </w:pPr>
            <w:r>
              <w:rPr/>
              <w:t> </w:t>
            </w:r>
          </w:p>
        </w:tc>
      </w:tr>
      <w:tr>
        <w:trPr/>
        <w:tc>
          <w:tcPr>
            <w:tcW w:w="8875" w:type="dxa"/>
            <w:tcBorders/>
            <w:shd w:fill="CCEEFF" w:val="clear"/>
            <w:vAlign w:val="center"/>
          </w:tcPr>
          <w:p>
            <w:pPr>
              <w:pStyle w:val="TableContents"/>
              <w:bidi w:val="0"/>
              <w:spacing w:before="0" w:after="283"/>
              <w:jc w:val="left"/>
              <w:rPr>
                <w:sz w:val="20"/>
              </w:rPr>
            </w:pPr>
            <w:r>
              <w:rPr>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sz w:val="20"/>
              </w:rPr>
            </w:pPr>
            <w:r>
              <w:rPr>
                <w:sz w:val="20"/>
              </w:rPr>
              <w:t>$</w:t>
            </w:r>
          </w:p>
        </w:tc>
        <w:tc>
          <w:tcPr>
            <w:tcW w:w="935" w:type="dxa"/>
            <w:tcBorders/>
            <w:shd w:fill="CCEEFF" w:val="clear"/>
            <w:vAlign w:val="center"/>
          </w:tcPr>
          <w:p>
            <w:pPr>
              <w:pStyle w:val="TableContents"/>
              <w:bidi w:val="0"/>
              <w:spacing w:before="0" w:after="283"/>
              <w:jc w:val="right"/>
              <w:rPr>
                <w:sz w:val="20"/>
              </w:rPr>
            </w:pPr>
            <w:r>
              <w:rPr>
                <w:sz w:val="20"/>
              </w:rPr>
              <w:t>1,806</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8875" w:type="dxa"/>
            <w:tcBorders/>
            <w:shd w:fill="FFFFFF" w:val="clear"/>
            <w:vAlign w:val="center"/>
          </w:tcPr>
          <w:p>
            <w:pPr>
              <w:pStyle w:val="TableContents"/>
              <w:bidi w:val="0"/>
              <w:spacing w:before="0" w:after="283"/>
              <w:jc w:val="left"/>
              <w:rPr>
                <w:sz w:val="20"/>
              </w:rPr>
            </w:pPr>
            <w:r>
              <w:rPr>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1,806</w:t>
            </w:r>
          </w:p>
        </w:tc>
        <w:tc>
          <w:tcPr>
            <w:tcW w:w="95" w:type="dxa"/>
            <w:tcBorders/>
            <w:shd w:fill="FFFFFF" w:val="clear"/>
            <w:vAlign w:val="center"/>
          </w:tcPr>
          <w:p>
            <w:pPr>
              <w:pStyle w:val="TableContents"/>
              <w:bidi w:val="0"/>
              <w:spacing w:before="0" w:after="283"/>
              <w:ind w:left="0" w:right="0" w:hanging="200"/>
              <w:jc w:val="left"/>
              <w:rPr/>
            </w:pPr>
            <w:r>
              <w:rPr/>
              <w:t> </w:t>
            </w:r>
          </w:p>
        </w:tc>
      </w:tr>
      <w:tr>
        <w:trPr/>
        <w:tc>
          <w:tcPr>
            <w:tcW w:w="8875" w:type="dxa"/>
            <w:tcBorders/>
            <w:shd w:fill="CCEEFF" w:val="clear"/>
            <w:vAlign w:val="center"/>
          </w:tcPr>
          <w:p>
            <w:pPr>
              <w:pStyle w:val="TableContents"/>
              <w:bidi w:val="0"/>
              <w:spacing w:before="0" w:after="283"/>
              <w:jc w:val="left"/>
              <w:rPr>
                <w:b/>
                <w:sz w:val="20"/>
              </w:rPr>
            </w:pPr>
            <w:r>
              <w:rPr>
                <w:b/>
                <w:sz w:val="20"/>
              </w:rPr>
              <w:t>Total assets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35"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1,806</w:t>
            </w:r>
          </w:p>
        </w:tc>
        <w:tc>
          <w:tcPr>
            <w:tcW w:w="95" w:type="dxa"/>
            <w:tcBorders/>
            <w:shd w:fill="CCEEFF" w:val="clear"/>
            <w:vAlign w:val="center"/>
          </w:tcPr>
          <w:p>
            <w:pPr>
              <w:pStyle w:val="TableContents"/>
              <w:bidi w:val="0"/>
              <w:spacing w:before="0" w:after="283"/>
              <w:jc w:val="left"/>
              <w:rPr/>
            </w:pPr>
            <w:r>
              <w:rPr/>
              <w:t> </w:t>
            </w:r>
          </w:p>
        </w:tc>
      </w:tr>
      <w:tr>
        <w:trPr/>
        <w:tc>
          <w:tcPr>
            <w:tcW w:w="8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200"/>
              <w:jc w:val="left"/>
              <w:rPr/>
            </w:pPr>
            <w:r>
              <w:rPr/>
              <w:t> </w:t>
            </w:r>
          </w:p>
        </w:tc>
      </w:tr>
      <w:tr>
        <w:trPr/>
        <w:tc>
          <w:tcPr>
            <w:tcW w:w="8875" w:type="dxa"/>
            <w:tcBorders/>
            <w:shd w:fill="CCEEFF" w:val="clear"/>
            <w:vAlign w:val="center"/>
          </w:tcPr>
          <w:p>
            <w:pPr>
              <w:pStyle w:val="TableContents"/>
              <w:bidi w:val="0"/>
              <w:spacing w:before="0" w:after="283"/>
              <w:jc w:val="left"/>
              <w:rPr>
                <w:b/>
                <w:sz w:val="20"/>
              </w:rPr>
            </w:pPr>
            <w:r>
              <w:rPr>
                <w:b/>
                <w:sz w:val="20"/>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8875" w:type="dxa"/>
            <w:tcBorders/>
            <w:shd w:fill="FFFFFF" w:val="clear"/>
            <w:vAlign w:val="center"/>
          </w:tcPr>
          <w:p>
            <w:pPr>
              <w:pStyle w:val="TableContents"/>
              <w:bidi w:val="0"/>
              <w:spacing w:before="0" w:after="283"/>
              <w:jc w:val="left"/>
              <w:rPr>
                <w:sz w:val="20"/>
              </w:rPr>
            </w:pPr>
            <w:r>
              <w:rPr>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200"/>
              <w:jc w:val="left"/>
              <w:rPr/>
            </w:pPr>
            <w:r>
              <w:rPr/>
              <w:t> </w:t>
            </w:r>
          </w:p>
        </w:tc>
      </w:tr>
      <w:tr>
        <w:trPr/>
        <w:tc>
          <w:tcPr>
            <w:tcW w:w="8875" w:type="dxa"/>
            <w:tcBorders/>
            <w:shd w:fill="CCEEFF" w:val="clear"/>
            <w:vAlign w:val="center"/>
          </w:tcPr>
          <w:p>
            <w:pPr>
              <w:pStyle w:val="TableContents"/>
              <w:bidi w:val="0"/>
              <w:spacing w:before="0" w:after="283"/>
              <w:jc w:val="left"/>
              <w:rPr>
                <w:sz w:val="20"/>
              </w:rPr>
            </w:pPr>
            <w:r>
              <w:rPr>
                <w:sz w:val="20"/>
              </w:rPr>
              <w:t>Due to related party</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sz w:val="20"/>
              </w:rPr>
            </w:pPr>
            <w:r>
              <w:rPr>
                <w:sz w:val="20"/>
              </w:rPr>
              <w:t>$</w:t>
            </w:r>
          </w:p>
        </w:tc>
        <w:tc>
          <w:tcPr>
            <w:tcW w:w="935" w:type="dxa"/>
            <w:tcBorders/>
            <w:shd w:fill="CCEEFF" w:val="clear"/>
            <w:vAlign w:val="center"/>
          </w:tcPr>
          <w:p>
            <w:pPr>
              <w:pStyle w:val="TableContents"/>
              <w:bidi w:val="0"/>
              <w:spacing w:before="0" w:after="283"/>
              <w:jc w:val="right"/>
              <w:rPr>
                <w:sz w:val="20"/>
              </w:rPr>
            </w:pPr>
            <w:r>
              <w:rPr>
                <w:sz w:val="20"/>
              </w:rPr>
              <w:t>1,818</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8875" w:type="dxa"/>
            <w:tcBorders/>
            <w:shd w:fill="FFFFFF" w:val="clear"/>
            <w:vAlign w:val="center"/>
          </w:tcPr>
          <w:p>
            <w:pPr>
              <w:pStyle w:val="TableContents"/>
              <w:bidi w:val="0"/>
              <w:spacing w:before="0" w:after="283"/>
              <w:jc w:val="left"/>
              <w:rPr>
                <w:sz w:val="20"/>
              </w:rPr>
            </w:pPr>
            <w:r>
              <w:rPr>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1,818</w:t>
            </w:r>
          </w:p>
        </w:tc>
        <w:tc>
          <w:tcPr>
            <w:tcW w:w="95" w:type="dxa"/>
            <w:tcBorders/>
            <w:shd w:fill="FFFFFF" w:val="clear"/>
            <w:vAlign w:val="center"/>
          </w:tcPr>
          <w:p>
            <w:pPr>
              <w:pStyle w:val="TableContents"/>
              <w:bidi w:val="0"/>
              <w:spacing w:before="0" w:after="283"/>
              <w:ind w:left="0" w:right="0" w:hanging="200"/>
              <w:jc w:val="left"/>
              <w:rPr/>
            </w:pPr>
            <w:r>
              <w:rPr/>
              <w:t> </w:t>
            </w:r>
          </w:p>
        </w:tc>
      </w:tr>
      <w:tr>
        <w:trPr/>
        <w:tc>
          <w:tcPr>
            <w:tcW w:w="8875" w:type="dxa"/>
            <w:tcBorders/>
            <w:shd w:fill="CCEEFF" w:val="clear"/>
            <w:vAlign w:val="center"/>
          </w:tcPr>
          <w:p>
            <w:pPr>
              <w:pStyle w:val="TableContents"/>
              <w:bidi w:val="0"/>
              <w:spacing w:before="0" w:after="283"/>
              <w:jc w:val="left"/>
              <w:rPr>
                <w:b/>
                <w:sz w:val="20"/>
              </w:rPr>
            </w:pPr>
            <w:r>
              <w:rPr>
                <w:b/>
                <w:sz w:val="20"/>
              </w:rPr>
              <w:t>Total liabilities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35"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1,818</w:t>
            </w:r>
          </w:p>
        </w:tc>
        <w:tc>
          <w:tcPr>
            <w:tcW w:w="95" w:type="dxa"/>
            <w:tcBorders/>
            <w:shd w:fill="CCEEFF" w:val="clear"/>
            <w:vAlign w:val="center"/>
          </w:tcPr>
          <w:p>
            <w:pPr>
              <w:pStyle w:val="TableContents"/>
              <w:bidi w:val="0"/>
              <w:spacing w:before="0" w:after="283"/>
              <w:jc w:val="left"/>
              <w:rPr/>
            </w:pPr>
            <w:r>
              <w:rPr/>
              <w:t> </w:t>
            </w:r>
          </w:p>
        </w:tc>
      </w:tr>
      <w:tr>
        <w:trPr/>
        <w:tc>
          <w:tcPr>
            <w:tcW w:w="8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200"/>
              <w:jc w:val="left"/>
              <w:rPr/>
            </w:pPr>
            <w:r>
              <w:rPr/>
              <w:t> </w:t>
            </w:r>
          </w:p>
        </w:tc>
      </w:tr>
      <w:tr>
        <w:trPr/>
        <w:tc>
          <w:tcPr>
            <w:tcW w:w="8875" w:type="dxa"/>
            <w:tcBorders/>
            <w:shd w:fill="CCEEFF" w:val="clear"/>
            <w:vAlign w:val="center"/>
          </w:tcPr>
          <w:p>
            <w:pPr>
              <w:pStyle w:val="TableContents"/>
              <w:bidi w:val="0"/>
              <w:spacing w:before="0" w:after="283"/>
              <w:jc w:val="left"/>
              <w:rPr>
                <w:sz w:val="20"/>
              </w:rPr>
            </w:pPr>
            <w:r>
              <w:rPr>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8875" w:type="dxa"/>
            <w:tcBorders/>
            <w:shd w:fill="FFFFFF" w:val="clear"/>
            <w:vAlign w:val="center"/>
          </w:tcPr>
          <w:p>
            <w:pPr>
              <w:pStyle w:val="TableContents"/>
              <w:bidi w:val="0"/>
              <w:spacing w:before="0" w:after="283"/>
              <w:jc w:val="left"/>
              <w:rPr>
                <w:sz w:val="20"/>
              </w:rPr>
            </w:pPr>
            <w:r>
              <w:rPr>
                <w:sz w:val="20"/>
              </w:rPr>
              <w:t>Common shares, no par value, unlimited shares authorized, 1 share issued and outstanding at December 31, 2025</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ind w:left="0" w:right="0" w:hanging="200"/>
              <w:jc w:val="left"/>
              <w:rPr/>
            </w:pPr>
            <w:r>
              <w:rPr/>
              <w:t> </w:t>
            </w:r>
          </w:p>
        </w:tc>
      </w:tr>
      <w:tr>
        <w:trPr/>
        <w:tc>
          <w:tcPr>
            <w:tcW w:w="8875" w:type="dxa"/>
            <w:tcBorders/>
            <w:shd w:fill="CCEEFF" w:val="clear"/>
            <w:vAlign w:val="center"/>
          </w:tcPr>
          <w:p>
            <w:pPr>
              <w:pStyle w:val="TableContents"/>
              <w:bidi w:val="0"/>
              <w:spacing w:before="0" w:after="283"/>
              <w:jc w:val="left"/>
              <w:rPr>
                <w:sz w:val="20"/>
              </w:rPr>
            </w:pPr>
            <w:r>
              <w:rPr>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sz w:val="20"/>
              </w:rPr>
            </w:pPr>
            <w:r>
              <w:rPr>
                <w:sz w:val="20"/>
              </w:rPr>
              <w:t>(12</w:t>
            </w:r>
          </w:p>
        </w:tc>
        <w:tc>
          <w:tcPr>
            <w:tcW w:w="95" w:type="dxa"/>
            <w:tcBorders/>
            <w:shd w:fill="CCEEFF" w:val="clear"/>
            <w:vAlign w:val="center"/>
          </w:tcPr>
          <w:p>
            <w:pPr>
              <w:pStyle w:val="TableContents"/>
              <w:bidi w:val="0"/>
              <w:spacing w:before="0" w:after="283"/>
              <w:ind w:left="0" w:right="0" w:hanging="200"/>
              <w:jc w:val="left"/>
              <w:rPr>
                <w:sz w:val="20"/>
              </w:rPr>
            </w:pPr>
            <w:r>
              <w:rPr>
                <w:sz w:val="20"/>
              </w:rPr>
              <w:t>)</w:t>
            </w:r>
          </w:p>
        </w:tc>
      </w:tr>
      <w:tr>
        <w:trPr/>
        <w:tc>
          <w:tcPr>
            <w:tcW w:w="8875" w:type="dxa"/>
            <w:tcBorders/>
            <w:shd w:fill="FFFFFF" w:val="clear"/>
            <w:vAlign w:val="center"/>
          </w:tcPr>
          <w:p>
            <w:pPr>
              <w:pStyle w:val="TableContents"/>
              <w:bidi w:val="0"/>
              <w:spacing w:before="0" w:after="283"/>
              <w:jc w:val="left"/>
              <w:rPr>
                <w:b/>
                <w:sz w:val="20"/>
              </w:rPr>
            </w:pPr>
            <w:r>
              <w:rPr>
                <w:b/>
                <w:sz w:val="20"/>
              </w:rPr>
              <w:t>Total shareholders’ equity</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(12</w:t>
            </w:r>
          </w:p>
        </w:tc>
        <w:tc>
          <w:tcPr>
            <w:tcW w:w="95" w:type="dxa"/>
            <w:tcBorders/>
            <w:shd w:fill="FFFFFF" w:val="clear"/>
            <w:vAlign w:val="center"/>
          </w:tcPr>
          <w:p>
            <w:pPr>
              <w:pStyle w:val="TableContents"/>
              <w:bidi w:val="0"/>
              <w:spacing w:before="0" w:after="283"/>
              <w:ind w:left="0" w:right="0" w:hanging="200"/>
              <w:jc w:val="left"/>
              <w:rPr>
                <w:sz w:val="20"/>
              </w:rPr>
            </w:pPr>
            <w:r>
              <w:rPr>
                <w:sz w:val="20"/>
              </w:rPr>
              <w:t>)</w:t>
            </w:r>
          </w:p>
        </w:tc>
      </w:tr>
      <w:tr>
        <w:trPr/>
        <w:tc>
          <w:tcPr>
            <w:tcW w:w="8875" w:type="dxa"/>
            <w:tcBorders/>
            <w:shd w:fill="CCEEFF" w:val="clear"/>
            <w:vAlign w:val="center"/>
          </w:tcPr>
          <w:p>
            <w:pPr>
              <w:pStyle w:val="TableContents"/>
              <w:bidi w:val="0"/>
              <w:spacing w:before="0" w:after="283"/>
              <w:jc w:val="left"/>
              <w:rPr>
                <w:b/>
                <w:sz w:val="20"/>
              </w:rPr>
            </w:pPr>
            <w:r>
              <w:rPr>
                <w:b/>
                <w:sz w:val="20"/>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35"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1,806</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and contingencies (Note 8)</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events (Note 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 behalf of the Board of Directors</w:t>
      </w:r>
    </w:p>
    <w:p>
      <w:pPr>
        <w:pStyle w:val="TextBody"/>
        <w:bidi w:val="0"/>
        <w:spacing w:before="0" w:after="0"/>
        <w:ind w:left="0" w:right="0" w:hanging="0"/>
        <w:jc w:val="both"/>
        <w:rPr>
          <w:caps w:val="false"/>
          <w:smallCaps w:val="false"/>
        </w:rPr>
      </w:pPr>
      <w:r>
        <w:rPr>
          <w:caps w:val="false"/>
          <w:smallCaps w:val="false"/>
        </w:rPr>
        <w:t> </w:t>
      </w:r>
    </w:p>
    <w:tbl>
      <w:tblPr>
        <w:tblW w:w="6190" w:type="dxa"/>
        <w:jc w:val="left"/>
        <w:tblInd w:w="0" w:type="dxa"/>
        <w:tblLayout w:type="fixed"/>
        <w:tblCellMar>
          <w:top w:w="0" w:type="dxa"/>
          <w:left w:w="0" w:type="dxa"/>
          <w:bottom w:w="30" w:type="dxa"/>
          <w:right w:w="0" w:type="dxa"/>
        </w:tblCellMar>
      </w:tblPr>
      <w:tblGrid>
        <w:gridCol w:w="3350"/>
        <w:gridCol w:w="60"/>
        <w:gridCol w:w="2780"/>
      </w:tblGrid>
      <w:tr>
        <w:trPr/>
        <w:tc>
          <w:tcPr>
            <w:tcW w:w="3350" w:type="dxa"/>
            <w:tcBorders>
              <w:bottom w:val="single" w:sz="12" w:space="0" w:color="000000"/>
            </w:tcBorders>
            <w:vAlign w:val="center"/>
          </w:tcPr>
          <w:p>
            <w:pPr>
              <w:pStyle w:val="TableContents"/>
              <w:bidi w:val="0"/>
              <w:spacing w:before="0" w:after="283"/>
              <w:jc w:val="left"/>
              <w:rPr>
                <w:sz w:val="20"/>
              </w:rPr>
            </w:pPr>
            <w:r>
              <w:rPr>
                <w:sz w:val="20"/>
              </w:rPr>
              <w:t>/s/ Christian Weedbrook   </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12" w:space="0" w:color="000000"/>
            </w:tcBorders>
            <w:vAlign w:val="center"/>
          </w:tcPr>
          <w:p>
            <w:pPr>
              <w:pStyle w:val="TableContents"/>
              <w:bidi w:val="0"/>
              <w:spacing w:before="0" w:after="283"/>
              <w:jc w:val="left"/>
              <w:rPr>
                <w:sz w:val="20"/>
              </w:rPr>
            </w:pPr>
            <w:r>
              <w:rPr>
                <w:sz w:val="20"/>
              </w:rPr>
              <w:t>/s/ Michelle Reynolds</w:t>
            </w:r>
          </w:p>
        </w:tc>
      </w:tr>
      <w:tr>
        <w:trPr/>
        <w:tc>
          <w:tcPr>
            <w:tcW w:w="3350" w:type="dxa"/>
            <w:tcBorders/>
            <w:tcMar>
              <w:bottom w:w="0" w:type="dxa"/>
            </w:tcMar>
            <w:vAlign w:val="center"/>
          </w:tcPr>
          <w:p>
            <w:pPr>
              <w:pStyle w:val="TableContents"/>
              <w:bidi w:val="0"/>
              <w:spacing w:before="0" w:after="283"/>
              <w:jc w:val="both"/>
              <w:rPr>
                <w:sz w:val="20"/>
              </w:rPr>
            </w:pPr>
            <w:r>
              <w:rPr>
                <w:sz w:val="20"/>
              </w:rPr>
              <w:t>Christian Weedbrook, CEO and Director </w:t>
            </w:r>
          </w:p>
        </w:tc>
        <w:tc>
          <w:tcPr>
            <w:tcW w:w="60" w:type="dxa"/>
            <w:tcBorders/>
            <w:tcMar>
              <w:bottom w:w="0" w:type="dxa"/>
            </w:tcMar>
            <w:vAlign w:val="center"/>
          </w:tcPr>
          <w:p>
            <w:pPr>
              <w:pStyle w:val="TableContents"/>
              <w:bidi w:val="0"/>
              <w:spacing w:before="0" w:after="283"/>
              <w:jc w:val="both"/>
              <w:rPr/>
            </w:pPr>
            <w:r>
              <w:rPr/>
              <w:t> </w:t>
            </w:r>
          </w:p>
        </w:tc>
        <w:tc>
          <w:tcPr>
            <w:tcW w:w="2780" w:type="dxa"/>
            <w:tcBorders/>
            <w:tcMar>
              <w:bottom w:w="0" w:type="dxa"/>
            </w:tcMar>
            <w:vAlign w:val="center"/>
          </w:tcPr>
          <w:p>
            <w:pPr>
              <w:pStyle w:val="TableContents"/>
              <w:bidi w:val="0"/>
              <w:spacing w:before="0" w:after="283"/>
              <w:jc w:val="both"/>
              <w:rPr/>
            </w:pPr>
            <w:r>
              <w:rPr/>
              <w:t>Michelle Reynolds, Director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9" w:name="k_003"/>
      <w:bookmarkEnd w:id="39"/>
      <w:r>
        <w:rPr>
          <w:rFonts w:ascii="Times New Roman;Times;Serif" w:hAnsi="Times New Roman;Times;Serif"/>
          <w:b/>
          <w:i w:val="false"/>
          <w:smallCaps/>
          <w:sz w:val="20"/>
        </w:rPr>
        <w:t>Xanadu Quantum Technologies Limited</w:t>
      </w:r>
      <w:r>
        <w:rPr>
          <w:rFonts w:ascii="Times New Roman;Times;Serif" w:hAnsi="Times New Roman;Times;Serif"/>
          <w:b/>
          <w:i w:val="false"/>
          <w:caps w:val="false"/>
          <w:smallCaps w:val="false"/>
          <w:sz w:val="20"/>
        </w:rPr>
        <w:br/>
        <w:t>Statement of Operations and Comprehensive Loss</w:t>
        <w:br/>
        <w:t>(In thousands, except for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8039" w:type="dxa"/>
        <w:jc w:val="left"/>
        <w:tblInd w:w="0" w:type="dxa"/>
        <w:tblLayout w:type="fixed"/>
        <w:tblCellMar>
          <w:top w:w="0" w:type="dxa"/>
          <w:left w:w="0" w:type="dxa"/>
          <w:bottom w:w="0" w:type="dxa"/>
          <w:right w:w="0" w:type="dxa"/>
        </w:tblCellMar>
      </w:tblPr>
      <w:tblGrid>
        <w:gridCol w:w="6515"/>
        <w:gridCol w:w="60"/>
        <w:gridCol w:w="219"/>
        <w:gridCol w:w="1150"/>
        <w:gridCol w:w="95"/>
      </w:tblGrid>
      <w:tr>
        <w:trPr/>
        <w:tc>
          <w:tcPr>
            <w:tcW w:w="651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For the period</w:t>
              <w:br/>
              <w:t>October 2, 2025</w:t>
              <w:br/>
              <w:t>(Inception)</w:t>
              <w:br/>
              <w:t>through</w:t>
              <w:br/>
              <w:t xml:space="preserve">December 31, </w:t>
              <w:br/>
              <w:t>2025</w:t>
            </w:r>
          </w:p>
        </w:tc>
        <w:tc>
          <w:tcPr>
            <w:tcW w:w="95" w:type="dxa"/>
            <w:tcBorders/>
            <w:vAlign w:val="center"/>
          </w:tcPr>
          <w:p>
            <w:pPr>
              <w:pStyle w:val="TableContents"/>
              <w:bidi w:val="0"/>
              <w:spacing w:before="0" w:after="283"/>
              <w:ind w:left="0" w:right="0" w:hanging="0"/>
              <w:jc w:val="left"/>
              <w:rPr/>
            </w:pPr>
            <w:r>
              <w:rPr/>
              <w:t> </w:t>
            </w:r>
          </w:p>
        </w:tc>
      </w:tr>
      <w:tr>
        <w:trPr/>
        <w:tc>
          <w:tcPr>
            <w:tcW w:w="6515" w:type="dxa"/>
            <w:tcBorders/>
            <w:shd w:fill="CCEEFF" w:val="clear"/>
            <w:vAlign w:val="center"/>
          </w:tcPr>
          <w:p>
            <w:pPr>
              <w:pStyle w:val="TableContents"/>
              <w:bidi w:val="0"/>
              <w:spacing w:before="0" w:after="283"/>
              <w:jc w:val="left"/>
              <w:rPr>
                <w:sz w:val="20"/>
              </w:rPr>
            </w:pPr>
            <w:r>
              <w:rPr>
                <w:sz w:val="20"/>
              </w:rPr>
              <w:t>Revenue</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sz w:val="20"/>
              </w:rPr>
            </w:pPr>
            <w:r>
              <w:rPr>
                <w:sz w:val="20"/>
              </w:rPr>
              <w:t>$</w:t>
            </w:r>
          </w:p>
        </w:tc>
        <w:tc>
          <w:tcPr>
            <w:tcW w:w="1150"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6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6515" w:type="dxa"/>
            <w:tcBorders/>
            <w:shd w:fill="CCEEFF" w:val="clear"/>
            <w:vAlign w:val="center"/>
          </w:tcPr>
          <w:p>
            <w:pPr>
              <w:pStyle w:val="TableContents"/>
              <w:bidi w:val="0"/>
              <w:spacing w:before="0" w:after="283"/>
              <w:jc w:val="left"/>
              <w:rPr>
                <w:b/>
                <w:sz w:val="20"/>
              </w:rPr>
            </w:pPr>
            <w:r>
              <w:rPr>
                <w:b/>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6515" w:type="dxa"/>
            <w:tcBorders/>
            <w:shd w:fill="FFFFFF" w:val="clear"/>
            <w:vAlign w:val="center"/>
          </w:tcPr>
          <w:p>
            <w:pPr>
              <w:pStyle w:val="TableContents"/>
              <w:bidi w:val="0"/>
              <w:spacing w:before="0" w:after="283"/>
              <w:jc w:val="left"/>
              <w:rPr>
                <w:sz w:val="20"/>
              </w:rPr>
            </w:pPr>
            <w:r>
              <w:rPr>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sz w:val="20"/>
              </w:rPr>
            </w:pPr>
            <w:r>
              <w:rPr>
                <w:sz w:val="20"/>
              </w:rPr>
              <w:t>12</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6515" w:type="dxa"/>
            <w:tcBorders/>
            <w:shd w:fill="CCEEFF" w:val="clear"/>
            <w:vAlign w:val="center"/>
          </w:tcPr>
          <w:p>
            <w:pPr>
              <w:pStyle w:val="TableContents"/>
              <w:bidi w:val="0"/>
              <w:spacing w:before="0" w:after="283"/>
              <w:jc w:val="left"/>
              <w:rPr>
                <w:sz w:val="20"/>
              </w:rPr>
            </w:pPr>
            <w:r>
              <w:rPr>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12</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6515" w:type="dxa"/>
            <w:tcBorders/>
            <w:shd w:fill="FFFFFF" w:val="clear"/>
            <w:vAlign w:val="center"/>
          </w:tcPr>
          <w:p>
            <w:pPr>
              <w:pStyle w:val="TableContents"/>
              <w:bidi w:val="0"/>
              <w:spacing w:before="0" w:after="283"/>
              <w:jc w:val="left"/>
              <w:rPr>
                <w:sz w:val="20"/>
              </w:rPr>
            </w:pPr>
            <w:r>
              <w:rPr>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sz w:val="20"/>
              </w:rPr>
            </w:pPr>
            <w:r>
              <w:rPr>
                <w:sz w:val="20"/>
              </w:rPr>
              <w:t>(12</w:t>
            </w:r>
          </w:p>
        </w:tc>
        <w:tc>
          <w:tcPr>
            <w:tcW w:w="95" w:type="dxa"/>
            <w:tcBorders/>
            <w:shd w:fill="FFFFFF" w:val="clear"/>
            <w:vAlign w:val="center"/>
          </w:tcPr>
          <w:p>
            <w:pPr>
              <w:pStyle w:val="TableContents"/>
              <w:bidi w:val="0"/>
              <w:spacing w:before="0" w:after="283"/>
              <w:ind w:left="0" w:right="0" w:hanging="180"/>
              <w:jc w:val="left"/>
              <w:rPr>
                <w:sz w:val="20"/>
              </w:rPr>
            </w:pPr>
            <w:r>
              <w:rPr>
                <w:sz w:val="20"/>
              </w:rPr>
              <w:t>)</w:t>
            </w:r>
          </w:p>
        </w:tc>
      </w:tr>
      <w:tr>
        <w:trPr/>
        <w:tc>
          <w:tcPr>
            <w:tcW w:w="6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6515" w:type="dxa"/>
            <w:tcBorders/>
            <w:shd w:fill="FFFFFF" w:val="clear"/>
            <w:vAlign w:val="center"/>
          </w:tcPr>
          <w:p>
            <w:pPr>
              <w:pStyle w:val="TableContents"/>
              <w:bidi w:val="0"/>
              <w:spacing w:before="0" w:after="283"/>
              <w:jc w:val="left"/>
              <w:rPr>
                <w:sz w:val="20"/>
              </w:rPr>
            </w:pPr>
            <w:r>
              <w:rPr>
                <w:sz w:val="20"/>
              </w:rPr>
              <w:t>Net and comprehensive loss</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12"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150"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(12</w:t>
            </w:r>
          </w:p>
        </w:tc>
        <w:tc>
          <w:tcPr>
            <w:tcW w:w="95" w:type="dxa"/>
            <w:tcBorders/>
            <w:shd w:fill="FFFFFF" w:val="clear"/>
            <w:vAlign w:val="center"/>
          </w:tcPr>
          <w:p>
            <w:pPr>
              <w:pStyle w:val="TableContents"/>
              <w:bidi w:val="0"/>
              <w:spacing w:before="0" w:after="283"/>
              <w:ind w:left="0" w:right="0" w:hanging="0"/>
              <w:jc w:val="left"/>
              <w:rPr>
                <w:sz w:val="20"/>
              </w:rPr>
            </w:pPr>
            <w:r>
              <w:rPr>
                <w:sz w:val="20"/>
              </w:rPr>
              <w:t>)</w:t>
            </w:r>
          </w:p>
        </w:tc>
      </w:tr>
      <w:tr>
        <w:trPr/>
        <w:tc>
          <w:tcPr>
            <w:tcW w:w="6515" w:type="dxa"/>
            <w:tcBorders/>
            <w:shd w:fill="CCEEFF" w:val="clear"/>
            <w:vAlign w:val="center"/>
          </w:tcPr>
          <w:p>
            <w:pPr>
              <w:pStyle w:val="TableContents"/>
              <w:bidi w:val="0"/>
              <w:spacing w:before="0" w:after="283"/>
              <w:jc w:val="left"/>
              <w:rPr>
                <w:sz w:val="20"/>
              </w:rPr>
            </w:pPr>
            <w:r>
              <w:rPr>
                <w:sz w:val="20"/>
              </w:rPr>
              <w:t>Net loss per share, basic and diluted</w:t>
            </w:r>
          </w:p>
        </w:tc>
        <w:tc>
          <w:tcPr>
            <w:tcW w:w="60" w:type="dxa"/>
            <w:tcBorders/>
            <w:shd w:fill="CCEEFF" w:val="clear"/>
            <w:vAlign w:val="center"/>
          </w:tcPr>
          <w:p>
            <w:pPr>
              <w:pStyle w:val="TableContents"/>
              <w:bidi w:val="0"/>
              <w:spacing w:before="0" w:after="283"/>
              <w:jc w:val="left"/>
              <w:rPr/>
            </w:pPr>
            <w:r>
              <w:rPr/>
              <w:t> </w:t>
            </w:r>
          </w:p>
        </w:tc>
        <w:tc>
          <w:tcPr>
            <w:tcW w:w="219"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150"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(12,035</w:t>
            </w:r>
          </w:p>
        </w:tc>
        <w:tc>
          <w:tcPr>
            <w:tcW w:w="95" w:type="dxa"/>
            <w:tcBorders/>
            <w:shd w:fill="CCEEFF" w:val="clear"/>
            <w:vAlign w:val="center"/>
          </w:tcPr>
          <w:p>
            <w:pPr>
              <w:pStyle w:val="TableContents"/>
              <w:bidi w:val="0"/>
              <w:spacing w:before="0" w:after="283"/>
              <w:ind w:left="0" w:right="0" w:hanging="0"/>
              <w:jc w:val="left"/>
              <w:rPr>
                <w:sz w:val="20"/>
              </w:rPr>
            </w:pPr>
            <w:r>
              <w:rPr>
                <w:sz w:val="20"/>
              </w:rPr>
              <w:t>)</w:t>
            </w:r>
          </w:p>
        </w:tc>
      </w:tr>
      <w:tr>
        <w:trPr/>
        <w:tc>
          <w:tcPr>
            <w:tcW w:w="6515" w:type="dxa"/>
            <w:tcBorders/>
            <w:shd w:fill="FFFFFF" w:val="clear"/>
            <w:vAlign w:val="center"/>
          </w:tcPr>
          <w:p>
            <w:pPr>
              <w:pStyle w:val="TableContents"/>
              <w:bidi w:val="0"/>
              <w:spacing w:before="0" w:after="283"/>
              <w:jc w:val="left"/>
              <w:rPr>
                <w:sz w:val="20"/>
              </w:rPr>
            </w:pPr>
            <w:r>
              <w:rPr>
                <w:sz w:val="20"/>
              </w:rPr>
              <w:t>Weighted average shares used in computing net loss per share, basic and diluted</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sz w:val="20"/>
              </w:rPr>
            </w:pPr>
            <w:r>
              <w:rPr>
                <w:sz w:val="20"/>
              </w:rPr>
              <w:t>1</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pPr>
      <w:r>
        <w:rPr/>
        <w:t> </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0" w:name="k_004"/>
      <w:bookmarkEnd w:id="40"/>
      <w:r>
        <w:rPr>
          <w:rFonts w:ascii="Times New Roman;Times;Serif" w:hAnsi="Times New Roman;Times;Serif"/>
          <w:b/>
          <w:i w:val="false"/>
          <w:smallCaps/>
          <w:sz w:val="20"/>
        </w:rPr>
        <w:t>Xanadu Quantum Technologies Limited</w:t>
        <w:br/>
      </w:r>
      <w:r>
        <w:rPr>
          <w:rFonts w:ascii="Times New Roman;Times;Serif" w:hAnsi="Times New Roman;Times;Serif"/>
          <w:b/>
          <w:i w:val="false"/>
          <w:caps w:val="false"/>
          <w:smallCaps w:val="false"/>
          <w:sz w:val="20"/>
        </w:rPr>
        <w:t>Statement of Shareholders’ Equity</w:t>
        <w:br/>
        <w:t>(In thousands, except for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6937" w:type="dxa"/>
        <w:jc w:val="left"/>
        <w:tblInd w:w="0" w:type="dxa"/>
        <w:tblLayout w:type="fixed"/>
        <w:tblCellMar>
          <w:top w:w="0" w:type="dxa"/>
          <w:left w:w="0" w:type="dxa"/>
          <w:bottom w:w="0" w:type="dxa"/>
          <w:right w:w="0" w:type="dxa"/>
        </w:tblCellMar>
      </w:tblPr>
      <w:tblGrid>
        <w:gridCol w:w="3035"/>
        <w:gridCol w:w="60"/>
        <w:gridCol w:w="85"/>
        <w:gridCol w:w="625"/>
        <w:gridCol w:w="63"/>
        <w:gridCol w:w="63"/>
        <w:gridCol w:w="132"/>
        <w:gridCol w:w="594"/>
        <w:gridCol w:w="60"/>
        <w:gridCol w:w="60"/>
        <w:gridCol w:w="125"/>
        <w:gridCol w:w="620"/>
        <w:gridCol w:w="60"/>
        <w:gridCol w:w="60"/>
        <w:gridCol w:w="173"/>
        <w:gridCol w:w="402"/>
        <w:gridCol w:w="80"/>
        <w:gridCol w:w="60"/>
        <w:gridCol w:w="146"/>
        <w:gridCol w:w="339"/>
        <w:gridCol w:w="95"/>
      </w:tblGrid>
      <w:tr>
        <w:trPr/>
        <w:tc>
          <w:tcPr>
            <w:tcW w:w="30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4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w:t>
              <w:br/>
              <w:t>share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57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8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r>
      <w:tr>
        <w:trPr/>
        <w:tc>
          <w:tcPr>
            <w:tcW w:w="30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3" w:type="dxa"/>
            <w:tcBorders/>
            <w:vAlign w:val="center"/>
          </w:tcPr>
          <w:p>
            <w:pPr>
              <w:pStyle w:val="TableContents"/>
              <w:bidi w:val="0"/>
              <w:spacing w:before="0" w:after="283"/>
              <w:jc w:val="center"/>
              <w:rPr>
                <w:caps w:val="false"/>
                <w:smallCaps w:val="false"/>
              </w:rPr>
            </w:pPr>
            <w:r>
              <w:rPr>
                <w:caps w:val="false"/>
                <w:smallCaps w:val="false"/>
              </w:rPr>
              <w:t> </w:t>
            </w:r>
          </w:p>
        </w:tc>
        <w:tc>
          <w:tcPr>
            <w:tcW w:w="63" w:type="dxa"/>
            <w:tcBorders/>
            <w:vAlign w:val="center"/>
          </w:tcPr>
          <w:p>
            <w:pPr>
              <w:pStyle w:val="TableContents"/>
              <w:bidi w:val="0"/>
              <w:spacing w:before="0" w:after="283"/>
              <w:jc w:val="center"/>
              <w:rPr>
                <w:caps w:val="false"/>
                <w:smallCaps w:val="false"/>
              </w:rPr>
            </w:pPr>
            <w:r>
              <w:rPr>
                <w:caps w:val="false"/>
                <w:smallCaps w:val="false"/>
              </w:rPr>
              <w:t> </w:t>
            </w:r>
          </w:p>
        </w:tc>
        <w:tc>
          <w:tcPr>
            <w:tcW w:w="72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October 2, 2025 (Inception)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5"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4"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0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3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0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3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pPr>
      <w:r>
        <w:rPr/>
        <w:t> </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1" w:name="k_005"/>
      <w:bookmarkEnd w:id="41"/>
      <w:r>
        <w:rPr>
          <w:rFonts w:ascii="Times New Roman;Times;Serif" w:hAnsi="Times New Roman;Times;Serif"/>
          <w:b/>
          <w:i w:val="false"/>
          <w:smallCaps/>
          <w:sz w:val="20"/>
        </w:rPr>
        <w:t>Xanadu Quantum Technologies Limited</w:t>
        <w:br/>
      </w:r>
      <w:r>
        <w:rPr>
          <w:rFonts w:ascii="Times New Roman;Times;Serif" w:hAnsi="Times New Roman;Times;Serif"/>
          <w:b/>
          <w:i w:val="false"/>
          <w:caps w:val="false"/>
          <w:smallCaps w:val="false"/>
          <w:sz w:val="20"/>
        </w:rPr>
        <w:t>Statement of Cash Flows</w:t>
        <w:br/>
        <w:t>(In thousands, except for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7334" w:type="dxa"/>
        <w:jc w:val="left"/>
        <w:tblInd w:w="0" w:type="dxa"/>
        <w:tblLayout w:type="fixed"/>
        <w:tblCellMar>
          <w:top w:w="0" w:type="dxa"/>
          <w:left w:w="0" w:type="dxa"/>
          <w:bottom w:w="0" w:type="dxa"/>
          <w:right w:w="0" w:type="dxa"/>
        </w:tblCellMar>
      </w:tblPr>
      <w:tblGrid>
        <w:gridCol w:w="5945"/>
        <w:gridCol w:w="60"/>
        <w:gridCol w:w="229"/>
        <w:gridCol w:w="1005"/>
        <w:gridCol w:w="95"/>
      </w:tblGrid>
      <w:tr>
        <w:trPr/>
        <w:tc>
          <w:tcPr>
            <w:tcW w:w="5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For the period</w:t>
              <w:br/>
              <w:t>October 2,</w:t>
              <w:br/>
              <w:t>2025</w:t>
              <w:br/>
              <w:t>(Inception)</w:t>
              <w:br/>
              <w:t>through</w:t>
              <w:br/>
              <w:t>December 31,</w:t>
              <w:br/>
              <w:t>2025</w:t>
            </w:r>
          </w:p>
        </w:tc>
        <w:tc>
          <w:tcPr>
            <w:tcW w:w="95" w:type="dxa"/>
            <w:tcBorders/>
            <w:vAlign w:val="center"/>
          </w:tcPr>
          <w:p>
            <w:pPr>
              <w:pStyle w:val="TableContents"/>
              <w:bidi w:val="0"/>
              <w:spacing w:before="0" w:after="283"/>
              <w:ind w:left="0" w:right="0" w:hanging="200"/>
              <w:jc w:val="left"/>
              <w:rPr/>
            </w:pPr>
            <w:r>
              <w:rPr/>
              <w:t> </w:t>
            </w:r>
          </w:p>
        </w:tc>
      </w:tr>
      <w:tr>
        <w:trPr/>
        <w:tc>
          <w:tcPr>
            <w:tcW w:w="5945" w:type="dxa"/>
            <w:tcBorders/>
            <w:shd w:fill="FFFFFF" w:val="clear"/>
            <w:vAlign w:val="center"/>
          </w:tcPr>
          <w:p>
            <w:pPr>
              <w:pStyle w:val="TableContents"/>
              <w:bidi w:val="0"/>
              <w:spacing w:before="0" w:after="283"/>
              <w:jc w:val="left"/>
              <w:rPr>
                <w:b/>
                <w:sz w:val="20"/>
              </w:rPr>
            </w:pPr>
            <w:r>
              <w:rPr>
                <w:b/>
                <w:sz w:val="20"/>
              </w:rPr>
              <w:t>Cash flows from operating activities:</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200"/>
              <w:jc w:val="left"/>
              <w:rPr/>
            </w:pPr>
            <w:r>
              <w:rPr/>
              <w:t> </w:t>
            </w:r>
          </w:p>
        </w:tc>
      </w:tr>
      <w:tr>
        <w:trPr/>
        <w:tc>
          <w:tcPr>
            <w:tcW w:w="5945" w:type="dxa"/>
            <w:tcBorders/>
            <w:shd w:fill="CCEEFF" w:val="clear"/>
            <w:vAlign w:val="center"/>
          </w:tcPr>
          <w:p>
            <w:pPr>
              <w:pStyle w:val="TableContents"/>
              <w:bidi w:val="0"/>
              <w:spacing w:before="0" w:after="283"/>
              <w:jc w:val="left"/>
              <w:rPr>
                <w:sz w:val="20"/>
              </w:rPr>
            </w:pPr>
            <w:r>
              <w:rPr>
                <w:sz w:val="20"/>
              </w:rPr>
              <w:t>Net loss</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sz w:val="20"/>
              </w:rPr>
            </w:pPr>
            <w:r>
              <w:rPr>
                <w:sz w:val="20"/>
              </w:rPr>
              <w:t>$</w:t>
            </w:r>
          </w:p>
        </w:tc>
        <w:tc>
          <w:tcPr>
            <w:tcW w:w="1005" w:type="dxa"/>
            <w:tcBorders/>
            <w:shd w:fill="CCEEFF" w:val="clear"/>
            <w:vAlign w:val="center"/>
          </w:tcPr>
          <w:p>
            <w:pPr>
              <w:pStyle w:val="TableContents"/>
              <w:bidi w:val="0"/>
              <w:spacing w:before="0" w:after="283"/>
              <w:jc w:val="right"/>
              <w:rPr>
                <w:sz w:val="20"/>
              </w:rPr>
            </w:pPr>
            <w:r>
              <w:rPr>
                <w:sz w:val="20"/>
              </w:rPr>
              <w:t>(12</w:t>
            </w:r>
          </w:p>
        </w:tc>
        <w:tc>
          <w:tcPr>
            <w:tcW w:w="95" w:type="dxa"/>
            <w:tcBorders/>
            <w:shd w:fill="CCEEFF" w:val="clear"/>
            <w:vAlign w:val="center"/>
          </w:tcPr>
          <w:p>
            <w:pPr>
              <w:pStyle w:val="TableContents"/>
              <w:bidi w:val="0"/>
              <w:spacing w:before="0" w:after="283"/>
              <w:ind w:left="0" w:right="0" w:hanging="200"/>
              <w:jc w:val="left"/>
              <w:rPr>
                <w:sz w:val="20"/>
              </w:rPr>
            </w:pPr>
            <w:r>
              <w:rPr>
                <w:sz w:val="20"/>
              </w:rPr>
              <w:t>)</w:t>
            </w:r>
          </w:p>
        </w:tc>
      </w:tr>
      <w:tr>
        <w:trPr/>
        <w:tc>
          <w:tcPr>
            <w:tcW w:w="5945" w:type="dxa"/>
            <w:tcBorders/>
            <w:shd w:fill="FFFFFF" w:val="clear"/>
            <w:vAlign w:val="center"/>
          </w:tcPr>
          <w:p>
            <w:pPr>
              <w:pStyle w:val="TableContents"/>
              <w:bidi w:val="0"/>
              <w:spacing w:before="0" w:after="283"/>
              <w:jc w:val="left"/>
              <w:rPr>
                <w:sz w:val="20"/>
              </w:rPr>
            </w:pPr>
            <w:r>
              <w:rPr>
                <w:sz w:val="20"/>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200"/>
              <w:jc w:val="left"/>
              <w:rPr/>
            </w:pPr>
            <w:r>
              <w:rPr/>
              <w:t> </w:t>
            </w:r>
          </w:p>
        </w:tc>
      </w:tr>
      <w:tr>
        <w:trPr/>
        <w:tc>
          <w:tcPr>
            <w:tcW w:w="5945" w:type="dxa"/>
            <w:tcBorders/>
            <w:shd w:fill="CCEEFF" w:val="clear"/>
            <w:vAlign w:val="center"/>
          </w:tcPr>
          <w:p>
            <w:pPr>
              <w:pStyle w:val="TableContents"/>
              <w:bidi w:val="0"/>
              <w:spacing w:before="0" w:after="283"/>
              <w:jc w:val="left"/>
              <w:rPr>
                <w:sz w:val="20"/>
              </w:rPr>
            </w:pPr>
            <w:r>
              <w:rPr>
                <w:sz w:val="20"/>
              </w:rPr>
              <w:t>Change in operating assets and liabilities:</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5945" w:type="dxa"/>
            <w:tcBorders/>
            <w:shd w:fill="FFFFFF" w:val="clear"/>
            <w:vAlign w:val="center"/>
          </w:tcPr>
          <w:p>
            <w:pPr>
              <w:pStyle w:val="TableContents"/>
              <w:bidi w:val="0"/>
              <w:spacing w:before="0" w:after="283"/>
              <w:jc w:val="left"/>
              <w:rPr>
                <w:sz w:val="20"/>
              </w:rPr>
            </w:pPr>
            <w:r>
              <w:rPr>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sz w:val="20"/>
              </w:rPr>
            </w:pPr>
            <w:r>
              <w:rPr>
                <w:sz w:val="20"/>
              </w:rPr>
              <w:t>(1,806</w:t>
            </w:r>
          </w:p>
        </w:tc>
        <w:tc>
          <w:tcPr>
            <w:tcW w:w="95" w:type="dxa"/>
            <w:tcBorders/>
            <w:shd w:fill="FFFFFF" w:val="clear"/>
            <w:vAlign w:val="center"/>
          </w:tcPr>
          <w:p>
            <w:pPr>
              <w:pStyle w:val="TableContents"/>
              <w:bidi w:val="0"/>
              <w:spacing w:before="0" w:after="283"/>
              <w:ind w:left="0" w:right="0" w:hanging="200"/>
              <w:jc w:val="left"/>
              <w:rPr>
                <w:sz w:val="20"/>
              </w:rPr>
            </w:pPr>
            <w:r>
              <w:rPr>
                <w:sz w:val="20"/>
              </w:rPr>
              <w:t>)</w:t>
            </w:r>
          </w:p>
        </w:tc>
      </w:tr>
      <w:tr>
        <w:trPr/>
        <w:tc>
          <w:tcPr>
            <w:tcW w:w="5945" w:type="dxa"/>
            <w:tcBorders/>
            <w:shd w:fill="CCEEFF" w:val="clear"/>
            <w:vAlign w:val="center"/>
          </w:tcPr>
          <w:p>
            <w:pPr>
              <w:pStyle w:val="TableContents"/>
              <w:bidi w:val="0"/>
              <w:spacing w:before="0" w:after="283"/>
              <w:jc w:val="left"/>
              <w:rPr>
                <w:sz w:val="20"/>
              </w:rPr>
            </w:pPr>
            <w:r>
              <w:rPr>
                <w:sz w:val="20"/>
              </w:rPr>
              <w:t>Due to related party</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1,818</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5945" w:type="dxa"/>
            <w:tcBorders/>
            <w:shd w:fill="FFFFFF" w:val="clear"/>
            <w:vAlign w:val="center"/>
          </w:tcPr>
          <w:p>
            <w:pPr>
              <w:pStyle w:val="TableContents"/>
              <w:bidi w:val="0"/>
              <w:spacing w:before="0" w:after="283"/>
              <w:jc w:val="left"/>
              <w:rPr>
                <w:b/>
                <w:sz w:val="20"/>
              </w:rPr>
            </w:pPr>
            <w:r>
              <w:rPr>
                <w:b/>
                <w:sz w:val="20"/>
              </w:rPr>
              <w:t>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5945" w:type="dxa"/>
            <w:tcBorders/>
            <w:shd w:fill="FFFFFF" w:val="clear"/>
            <w:vAlign w:val="center"/>
          </w:tcPr>
          <w:p>
            <w:pPr>
              <w:pStyle w:val="TableContents"/>
              <w:bidi w:val="0"/>
              <w:spacing w:before="0" w:after="283"/>
              <w:jc w:val="left"/>
              <w:rPr>
                <w:sz w:val="20"/>
              </w:rPr>
            </w:pPr>
            <w:r>
              <w:rPr>
                <w:sz w:val="20"/>
              </w:rPr>
              <w:t>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ind w:left="0" w:right="0" w:hanging="200"/>
              <w:jc w:val="left"/>
              <w:rPr/>
            </w:pPr>
            <w:r>
              <w:rPr/>
              <w:t> </w:t>
            </w:r>
          </w:p>
        </w:tc>
      </w:tr>
      <w:tr>
        <w:trPr/>
        <w:tc>
          <w:tcPr>
            <w:tcW w:w="5945" w:type="dxa"/>
            <w:tcBorders/>
            <w:shd w:fill="CCEEFF" w:val="clear"/>
            <w:vAlign w:val="center"/>
          </w:tcPr>
          <w:p>
            <w:pPr>
              <w:pStyle w:val="TableContents"/>
              <w:bidi w:val="0"/>
              <w:spacing w:before="0" w:after="283"/>
              <w:jc w:val="left"/>
              <w:rPr>
                <w:sz w:val="20"/>
              </w:rPr>
            </w:pPr>
            <w:r>
              <w:rPr>
                <w:sz w:val="20"/>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5945" w:type="dxa"/>
            <w:tcBorders/>
            <w:shd w:fill="FFFFFF" w:val="clear"/>
            <w:vAlign w:val="center"/>
          </w:tcPr>
          <w:p>
            <w:pPr>
              <w:pStyle w:val="TableContents"/>
              <w:bidi w:val="0"/>
              <w:spacing w:before="0" w:after="283"/>
              <w:jc w:val="left"/>
              <w:rPr>
                <w:sz w:val="20"/>
              </w:rPr>
            </w:pPr>
            <w:r>
              <w:rPr>
                <w:sz w:val="20"/>
              </w:rPr>
              <w:t>Cash and cash equivalents, end of period</w:t>
            </w:r>
          </w:p>
        </w:tc>
        <w:tc>
          <w:tcPr>
            <w:tcW w:w="60" w:type="dxa"/>
            <w:tcBorders/>
            <w:shd w:fill="FFFFFF" w:val="clear"/>
            <w:vAlign w:val="center"/>
          </w:tcPr>
          <w:p>
            <w:pPr>
              <w:pStyle w:val="TableContents"/>
              <w:bidi w:val="0"/>
              <w:spacing w:before="0" w:after="283"/>
              <w:jc w:val="left"/>
              <w:rPr/>
            </w:pPr>
            <w:r>
              <w:rPr/>
              <w:t> </w:t>
            </w:r>
          </w:p>
        </w:tc>
        <w:tc>
          <w:tcPr>
            <w:tcW w:w="229" w:type="dxa"/>
            <w:tcBorders>
              <w:bottom w:val="double" w:sz="10"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05" w:type="dxa"/>
            <w:tcBorders>
              <w:bottom w:val="double" w:sz="10"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42" w:name="k_006"/>
      <w:bookmarkEnd w:id="42"/>
      <w:r>
        <w:rPr>
          <w:rFonts w:ascii="Times New Roman;Times;Serif" w:hAnsi="Times New Roman;Times;Serif"/>
          <w:b/>
          <w:i w:val="false"/>
          <w:smallCaps/>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Description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Xanadu Quantum Technologies Limited (“Xanadu”, or the “Company”) was incorporated under the </w:t>
      </w:r>
      <w:r>
        <w:rPr>
          <w:rFonts w:ascii="Times New Roman;Times;Serif" w:hAnsi="Times New Roman;Times;Serif"/>
          <w:b w:val="false"/>
          <w:i/>
          <w:caps w:val="false"/>
          <w:smallCaps w:val="false"/>
          <w:sz w:val="20"/>
        </w:rPr>
        <w:t xml:space="preserve">Business Corporations Act </w:t>
      </w:r>
      <w:r>
        <w:rPr>
          <w:rFonts w:ascii="Times New Roman;Times;Serif" w:hAnsi="Times New Roman;Times;Serif"/>
          <w:b w:val="false"/>
          <w:i w:val="false"/>
          <w:caps w:val="false"/>
          <w:smallCaps w:val="false"/>
          <w:sz w:val="20"/>
        </w:rPr>
        <w:t>(Ontario) on October 2, 2025. The corporate office address is located at 777 Bay Street, Suite 2400, Toronto, Ontario.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formed to facilitate the business combination (the “Business Combination”) between Xanadu Quantum Technologies Inc. (“Old Xanadu”) and Crane Harbor Acquisition Corp. (“SPAC”), a publicly traded special purpose acquisition company pursuant to the Business Combination Agreement (the “Business Combination Agreement”) dated November 3, 2025 between Xanadu, Old Xanadu and SPAC. The Company had not commenced operations until the closing of the Business Combination described in Note 10 below. The Company issued one common share for $1.00 upon incorporation.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Combination with Xanadu and SPAC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3, 2025, the Company entered into the Business Combination Agreement with Old Xanadu and SPAC. Upon the closing of the Business Combination, the Company became the holding company of Old Xanadu and SPAC and as of March 27, 2026 its subordinate voting shares (the “Class B Subordinate Voting Shares”) are listed on the Nasdaq Stock Market (“Nasdaq”) and the Toronto Stock Exchange (the “TSX”).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3, 2025, the Company and certain investors (the “PIPE Investors”) entered into subscription agreements (which have subsequently been completed) whereby the PIPE Investors agreed to subscribe for and purchase 27,500,000 Class B Subordinate Voting Shares of the Company for a purchase price of $10.00 per share for aggregate gross proceeds of $275,000 (the “PIPE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Liquidity and Capital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on a basis that assumes the Company will continue as a going concern, which contemplates the realization of assets and the settlement of liabilities in the normal course of business. The Company was reliant on Old Xanadu to fund its working capital needs through the closing of the Business Combination described in Note 10 below. Old Xanadu and the Company incurred additional operating losses subsequent to the period end and through completion of the Business Combination. Upon the closing of the Business Combination and the concurrent PIPE Financing, the Company received gross proceeds of $302,000, which the Company believes are sufficient to fund operations for the foreseeable future from the date of issuance of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 of the Business Combination and the PIPE Financing occurred on March 26, 2026 (the “Closing Date”) (Note 10).</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Basis of presentation and summary of significant accounting policies:</w:t>
      </w:r>
    </w:p>
    <w:p>
      <w:pPr>
        <w:pStyle w:val="TextBody"/>
        <w:bidi w:val="0"/>
        <w:spacing w:before="0" w:after="0"/>
        <w:ind w:left="720" w:right="0" w:hanging="360"/>
        <w:jc w:val="both"/>
        <w:rPr>
          <w:caps w:val="false"/>
          <w:smallCaps w:val="false"/>
        </w:rPr>
      </w:pPr>
      <w:r>
        <w:rPr>
          <w:caps w:val="false"/>
          <w:smallCaps w:val="false"/>
        </w:rPr>
        <w:t> </w:t>
      </w:r>
    </w:p>
    <w:tbl>
      <w:tblPr>
        <w:tblW w:w="2373" w:type="dxa"/>
        <w:jc w:val="left"/>
        <w:tblInd w:w="0" w:type="dxa"/>
        <w:tblLayout w:type="fixed"/>
        <w:tblCellMar>
          <w:top w:w="0" w:type="dxa"/>
          <w:left w:w="0" w:type="dxa"/>
          <w:bottom w:w="0" w:type="dxa"/>
          <w:right w:w="0" w:type="dxa"/>
        </w:tblCellMar>
      </w:tblPr>
      <w:tblGrid>
        <w:gridCol w:w="38"/>
        <w:gridCol w:w="275"/>
        <w:gridCol w:w="206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2060" w:type="dxa"/>
            <w:tcBorders/>
            <w:vAlign w:val="center"/>
          </w:tcPr>
          <w:p>
            <w:pPr>
              <w:pStyle w:val="TableContents"/>
              <w:bidi w:val="0"/>
              <w:spacing w:before="0" w:after="283"/>
              <w:jc w:val="both"/>
              <w:rPr/>
            </w:pPr>
            <w:r>
              <w:rPr/>
              <w:t>Basis of presentation:</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of the Company are presented in U.S. dollars (“USD”) and prepared on a going concern basis in accordance with accounting principles generally accepted in the United States (“U.S. GAAP”) and pursuant to the accounting and disclosure rules and regulations of the Securities and Exchange Commission (“SEC”).</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Xanadu Quantum Technologies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Basis of presentation and summary of significant accounting policies: </w:t>
      </w:r>
      <w:r>
        <w:rPr>
          <w:rFonts w:ascii="Times New Roman;Times;Serif" w:hAnsi="Times New Roman;Times;Serif"/>
          <w:b w:val="false"/>
          <w:i w:val="false"/>
          <w:caps w:val="false"/>
          <w:smallCaps w:val="false"/>
          <w:sz w:val="20"/>
        </w:rPr>
        <w:t>(cont.)</w:t>
      </w:r>
    </w:p>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3"/>
        <w:gridCol w:w="943"/>
        <w:gridCol w:w="9139"/>
      </w:tblGrid>
      <w:tr>
        <w:trPr/>
        <w:tc>
          <w:tcPr>
            <w:tcW w:w="12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pPr>
            <w:r>
              <w:rPr/>
              <w:t>(b)</w:t>
            </w:r>
          </w:p>
        </w:tc>
        <w:tc>
          <w:tcPr>
            <w:tcW w:w="9139" w:type="dxa"/>
            <w:tcBorders/>
            <w:vAlign w:val="center"/>
          </w:tcPr>
          <w:p>
            <w:pPr>
              <w:pStyle w:val="TableContents"/>
              <w:bidi w:val="0"/>
              <w:spacing w:before="0" w:after="283"/>
              <w:jc w:val="both"/>
              <w:rPr/>
            </w:pPr>
            <w:r>
              <w:rPr/>
              <w:t>Emerging Growth Company:</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 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The Company has elected to not opt out of such extended transition period.</w:t>
      </w:r>
    </w:p>
    <w:p>
      <w:pPr>
        <w:pStyle w:val="TextBody"/>
        <w:bidi w:val="0"/>
        <w:spacing w:before="0" w:after="0"/>
        <w:ind w:left="360" w:right="0" w:hanging="0"/>
        <w:jc w:val="both"/>
        <w:rPr>
          <w:caps w:val="false"/>
          <w:smallCaps w:val="false"/>
        </w:rPr>
      </w:pPr>
      <w:r>
        <w:rPr>
          <w:caps w:val="false"/>
          <w:smallCaps w:val="false"/>
        </w:rPr>
        <w:t> </w:t>
      </w:r>
    </w:p>
    <w:tbl>
      <w:tblPr>
        <w:tblW w:w="2313" w:type="dxa"/>
        <w:jc w:val="left"/>
        <w:tblInd w:w="0" w:type="dxa"/>
        <w:tblLayout w:type="fixed"/>
        <w:tblCellMar>
          <w:top w:w="0" w:type="dxa"/>
          <w:left w:w="0" w:type="dxa"/>
          <w:bottom w:w="0" w:type="dxa"/>
          <w:right w:w="0" w:type="dxa"/>
        </w:tblCellMar>
      </w:tblPr>
      <w:tblGrid>
        <w:gridCol w:w="38"/>
        <w:gridCol w:w="275"/>
        <w:gridCol w:w="20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2000" w:type="dxa"/>
            <w:tcBorders/>
            <w:vAlign w:val="center"/>
          </w:tcPr>
          <w:p>
            <w:pPr>
              <w:pStyle w:val="TableContents"/>
              <w:bidi w:val="0"/>
              <w:spacing w:before="0" w:after="283"/>
              <w:jc w:val="both"/>
              <w:rPr/>
            </w:pPr>
            <w:r>
              <w:rPr/>
              <w:t>Period of operations:</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incorporated on October 2, 2025. Accordingly, the financial statements presented herein, specifically the statement of operations and comprehensive loss, statement of changes in shareholders’ equity, and statement of cash flows, reflect the results of operations and cash flows for the initial period from October 2, 2025 (Inception) through December 31, 2025.</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sheet reflects the financial position of the Company as of December 31, 2025. Because this is the Company’s initial period of operations, there are no comparative prior-period financial statements presented.</w:t>
      </w:r>
    </w:p>
    <w:p>
      <w:pPr>
        <w:pStyle w:val="TextBody"/>
        <w:bidi w:val="0"/>
        <w:spacing w:before="0" w:after="0"/>
        <w:ind w:left="360" w:right="0" w:hanging="0"/>
        <w:jc w:val="left"/>
        <w:rPr>
          <w:caps w:val="false"/>
          <w:smallCaps w:val="false"/>
        </w:rPr>
      </w:pPr>
      <w:r>
        <w:rPr>
          <w:caps w:val="false"/>
          <w:smallCaps w:val="false"/>
        </w:rPr>
        <w:t> </w:t>
      </w:r>
    </w:p>
    <w:tbl>
      <w:tblPr>
        <w:tblW w:w="903" w:type="dxa"/>
        <w:jc w:val="left"/>
        <w:tblInd w:w="0" w:type="dxa"/>
        <w:tblLayout w:type="fixed"/>
        <w:tblCellMar>
          <w:top w:w="0" w:type="dxa"/>
          <w:left w:w="0" w:type="dxa"/>
          <w:bottom w:w="0" w:type="dxa"/>
          <w:right w:w="0" w:type="dxa"/>
        </w:tblCellMar>
      </w:tblPr>
      <w:tblGrid>
        <w:gridCol w:w="38"/>
        <w:gridCol w:w="290"/>
        <w:gridCol w:w="5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575" w:type="dxa"/>
            <w:tcBorders/>
            <w:vAlign w:val="center"/>
          </w:tcPr>
          <w:p>
            <w:pPr>
              <w:pStyle w:val="TableContents"/>
              <w:bidi w:val="0"/>
              <w:spacing w:before="0" w:after="283"/>
              <w:jc w:val="both"/>
              <w:rPr/>
            </w:pPr>
            <w:r>
              <w:rPr/>
              <w:t>Cash:</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is comprised of cash on hand.  </w:t>
      </w:r>
    </w:p>
    <w:p>
      <w:pPr>
        <w:pStyle w:val="TextBody"/>
        <w:bidi w:val="0"/>
        <w:spacing w:before="0" w:after="0"/>
        <w:ind w:left="720" w:right="0" w:hanging="360"/>
        <w:jc w:val="both"/>
        <w:rPr>
          <w:caps w:val="false"/>
          <w:smallCaps w:val="false"/>
        </w:rPr>
      </w:pPr>
      <w:r>
        <w:rPr>
          <w:caps w:val="false"/>
          <w:smallCaps w:val="false"/>
        </w:rPr>
        <w:t> </w:t>
      </w:r>
    </w:p>
    <w:tbl>
      <w:tblPr>
        <w:tblW w:w="1653" w:type="dxa"/>
        <w:jc w:val="left"/>
        <w:tblInd w:w="0" w:type="dxa"/>
        <w:tblLayout w:type="fixed"/>
        <w:tblCellMar>
          <w:top w:w="0" w:type="dxa"/>
          <w:left w:w="0" w:type="dxa"/>
          <w:bottom w:w="0" w:type="dxa"/>
          <w:right w:w="0" w:type="dxa"/>
        </w:tblCellMar>
      </w:tblPr>
      <w:tblGrid>
        <w:gridCol w:w="38"/>
        <w:gridCol w:w="275"/>
        <w:gridCol w:w="13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1340" w:type="dxa"/>
            <w:tcBorders/>
            <w:vAlign w:val="center"/>
          </w:tcPr>
          <w:p>
            <w:pPr>
              <w:pStyle w:val="TableContents"/>
              <w:bidi w:val="0"/>
              <w:spacing w:before="0" w:after="283"/>
              <w:jc w:val="both"/>
              <w:rPr/>
            </w:pPr>
            <w:r>
              <w:rPr/>
              <w:t>Income taxes: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under the asset and liability method, which requires the recognition of deferred tax assets and liabilities for the estimated future tax consequences of events that have been included in the financial statements or in the Company’s tax returns. Under this method, deferred tax assets and liabilities are recognized for temporary differences between the carrying amounts in the financial statements and the tax basis of assets and liabilities. Deferred tax assets and liabilities are measured using the currently enacted tax rates that apply to taxable income in effect for the years in which they are expected to be realized or settled. Deferred tax assets are evaluated for future realization and reduced by a valuation allowance to the amount that is more likely than not to be realized. Factors considered when assessing the likelihood of future realization of deferred tax assets include the Company’s recent net loss experience and expectations of future earnings, capital gains and investments in the applicable jurisdiction, carryforward periods available for tax reporting purposes, among others.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tax positions taken or expected to be taken in the course of preparing tax returns and applies a two-step approach in recognizing and measuring uncertain tax positions. The first step is to evaluate the tax position for recognition by determining if the available evidence indicates that it is more likely than not that the position will be sustained upon examination by the applicable tax authority. The second step, for those tax positions that meet the recognition criteria, is to measure the tax benefit as the largest amount which is more than 50% likely of being realized upon ultimate settlement.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Basis of presentation and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360" w:right="0" w:hanging="360"/>
        <w:jc w:val="both"/>
        <w:rPr>
          <w:caps w:val="false"/>
          <w:smallCaps w:val="false"/>
        </w:rPr>
      </w:pPr>
      <w:r>
        <w:rPr>
          <w:caps w:val="false"/>
          <w:smallCaps w:val="false"/>
        </w:rPr>
        <w:t> </w:t>
      </w:r>
    </w:p>
    <w:tbl>
      <w:tblPr>
        <w:tblW w:w="2058" w:type="dxa"/>
        <w:jc w:val="left"/>
        <w:tblInd w:w="0" w:type="dxa"/>
        <w:tblLayout w:type="fixed"/>
        <w:tblCellMar>
          <w:top w:w="0" w:type="dxa"/>
          <w:left w:w="0" w:type="dxa"/>
          <w:bottom w:w="0" w:type="dxa"/>
          <w:right w:w="0" w:type="dxa"/>
        </w:tblCellMar>
      </w:tblPr>
      <w:tblGrid>
        <w:gridCol w:w="38"/>
        <w:gridCol w:w="245"/>
        <w:gridCol w:w="17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(f)</w:t>
            </w:r>
          </w:p>
        </w:tc>
        <w:tc>
          <w:tcPr>
            <w:tcW w:w="1775" w:type="dxa"/>
            <w:tcBorders/>
            <w:vAlign w:val="center"/>
          </w:tcPr>
          <w:p>
            <w:pPr>
              <w:pStyle w:val="TableContents"/>
              <w:bidi w:val="0"/>
              <w:spacing w:before="0" w:after="283"/>
              <w:jc w:val="both"/>
              <w:rPr/>
            </w:pPr>
            <w:r>
              <w:rPr/>
              <w:t>Net loss per share:</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is computed by dividing the net loss available to common shareholders by the weighted average number of common shares outstanding during each period.</w:t>
      </w:r>
    </w:p>
    <w:p>
      <w:pPr>
        <w:pStyle w:val="TextBody"/>
        <w:bidi w:val="0"/>
        <w:spacing w:before="0" w:after="0"/>
        <w:ind w:left="360" w:right="0" w:hanging="0"/>
        <w:jc w:val="both"/>
        <w:rPr>
          <w:caps w:val="false"/>
          <w:smallCaps w:val="false"/>
        </w:rPr>
      </w:pPr>
      <w:r>
        <w:rPr>
          <w:caps w:val="false"/>
          <w:smallCaps w:val="false"/>
        </w:rPr>
        <w:t> </w:t>
      </w:r>
    </w:p>
    <w:tbl>
      <w:tblPr>
        <w:tblW w:w="4653" w:type="dxa"/>
        <w:jc w:val="left"/>
        <w:tblInd w:w="0" w:type="dxa"/>
        <w:tblLayout w:type="fixed"/>
        <w:tblCellMar>
          <w:top w:w="0" w:type="dxa"/>
          <w:left w:w="0" w:type="dxa"/>
          <w:bottom w:w="0" w:type="dxa"/>
          <w:right w:w="0" w:type="dxa"/>
        </w:tblCellMar>
      </w:tblPr>
      <w:tblGrid>
        <w:gridCol w:w="38"/>
        <w:gridCol w:w="290"/>
        <w:gridCol w:w="432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(g)</w:t>
            </w:r>
          </w:p>
        </w:tc>
        <w:tc>
          <w:tcPr>
            <w:tcW w:w="4325" w:type="dxa"/>
            <w:tcBorders/>
            <w:vAlign w:val="center"/>
          </w:tcPr>
          <w:p>
            <w:pPr>
              <w:pStyle w:val="TableContents"/>
              <w:bidi w:val="0"/>
              <w:spacing w:before="0" w:after="283"/>
              <w:jc w:val="both"/>
              <w:rPr/>
            </w:pPr>
            <w:r>
              <w:rPr/>
              <w:t>Foreign currency translation and transactions: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functional and reporting currency is the U.S. dollar. Monetary assets and liabilities that are denominated in a currency other than the Company’s functional currency are translated into the functional currency using the exchange rates in effect as of the balance sheet dates, and revenues and expenses are translated at the exchange rates prevailing when the transactions occurred. Gains and losses resulting from translation are recognized in other income (expense), net in the statements of operations and comprehensive loss in the period in which they arise. Non-monetary assets and liabilities are translated at historical exchange rates.</w:t>
      </w:r>
    </w:p>
    <w:p>
      <w:pPr>
        <w:pStyle w:val="TextBody"/>
        <w:bidi w:val="0"/>
        <w:spacing w:before="0" w:after="0"/>
        <w:ind w:left="720" w:right="0" w:hanging="360"/>
        <w:jc w:val="both"/>
        <w:rPr>
          <w:caps w:val="false"/>
          <w:smallCaps w:val="false"/>
        </w:rPr>
      </w:pPr>
      <w:r>
        <w:rPr>
          <w:caps w:val="false"/>
          <w:smallCaps w:val="false"/>
        </w:rPr>
        <w:t> </w:t>
      </w:r>
    </w:p>
    <w:tbl>
      <w:tblPr>
        <w:tblW w:w="2298" w:type="dxa"/>
        <w:jc w:val="left"/>
        <w:tblInd w:w="0" w:type="dxa"/>
        <w:tblLayout w:type="fixed"/>
        <w:tblCellMar>
          <w:top w:w="0" w:type="dxa"/>
          <w:left w:w="0" w:type="dxa"/>
          <w:bottom w:w="0" w:type="dxa"/>
          <w:right w:w="0" w:type="dxa"/>
        </w:tblCellMar>
      </w:tblPr>
      <w:tblGrid>
        <w:gridCol w:w="38"/>
        <w:gridCol w:w="245"/>
        <w:gridCol w:w="20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(h)</w:t>
            </w:r>
          </w:p>
        </w:tc>
        <w:tc>
          <w:tcPr>
            <w:tcW w:w="2015" w:type="dxa"/>
            <w:tcBorders/>
            <w:vAlign w:val="center"/>
          </w:tcPr>
          <w:p>
            <w:pPr>
              <w:pStyle w:val="TableContents"/>
              <w:bidi w:val="0"/>
              <w:spacing w:before="0" w:after="283"/>
              <w:jc w:val="both"/>
              <w:rPr>
                <w:sz w:val="20"/>
              </w:rPr>
            </w:pPr>
            <w:r>
              <w:rPr>
                <w:sz w:val="20"/>
              </w:rPr>
              <w:t>Fair value measurement: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an exit price, representing the amount that would be received to sell an asset or paid to transfer a liability in an orderly transaction between market participants. In determining fair value, the use of various valuation methodologies, including market, income and cost approaches is permissible. The inputs to these methodologies consider market comparable information, taking into account the data when available.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three levels of inputs that may be used to measure fair value based on the reliability of inputs, and a financial instrument’s categorization within the fair value hierarchy is based upon the lowest level of input that is significant to the fair value measurement:</w:t>
      </w:r>
    </w:p>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1: Quoted market prices in active markets that the reporting entity has the ability to access at the date of the fair value measurement.</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2: Inputs other than quoted market prices described in Level 1 that are observable for the asset or liability,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3: Unobservable inputs that are supported by little or no market activity and that are significant to the fair value measurement of the assets or liabilities.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Prepaid expenses and other current assets: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are comprised of the following as of December 31, 2025:</w:t>
      </w:r>
    </w:p>
    <w:p>
      <w:pPr>
        <w:pStyle w:val="TextBody"/>
        <w:bidi w:val="0"/>
        <w:spacing w:before="0" w:after="0"/>
        <w:ind w:left="360" w:right="0" w:hanging="0"/>
        <w:jc w:val="both"/>
        <w:rPr>
          <w:caps w:val="false"/>
          <w:smallCaps w:val="false"/>
        </w:rPr>
      </w:pPr>
      <w:r>
        <w:rPr>
          <w:caps w:val="false"/>
          <w:smallCaps w:val="false"/>
        </w:rPr>
        <w:t> </w:t>
      </w:r>
    </w:p>
    <w:tbl>
      <w:tblPr>
        <w:tblW w:w="2865" w:type="dxa"/>
        <w:jc w:val="left"/>
        <w:tblInd w:w="0" w:type="dxa"/>
        <w:tblLayout w:type="fixed"/>
        <w:tblCellMar>
          <w:top w:w="0" w:type="dxa"/>
          <w:left w:w="0" w:type="dxa"/>
          <w:bottom w:w="0" w:type="dxa"/>
          <w:right w:w="0" w:type="dxa"/>
        </w:tblCellMar>
      </w:tblPr>
      <w:tblGrid>
        <w:gridCol w:w="2120"/>
        <w:gridCol w:w="60"/>
        <w:gridCol w:w="125"/>
        <w:gridCol w:w="485"/>
        <w:gridCol w:w="75"/>
      </w:tblGrid>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transaction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transaction costs are costs incurred directly related to the reverse capitalization of the Business Combination and concurrent PIPE Financing and have been deferred to be applied against the proceeds upon closing. The costs were incurred by Old Xanadu, a related party, on behalf of the Company (see Note 9), and are expected to be deductible for tax purposes.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Income taxes: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deferred tax assets and liabilities for the expected future tax consequences of events that have been recognized in the Company’s financial statements.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The Company has recorded a valuation allowance against its deferred tax assets, primarily representing the current year loss, as of December 31, 2025 because the Company’s management believes that it is more likely than not that these assets will not be fully realized.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As of December 31, 2025 no accrued interest or penalties have been recorded.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Shareholders’ equity:</w:t>
      </w:r>
    </w:p>
    <w:p>
      <w:pPr>
        <w:pStyle w:val="TextBody"/>
        <w:bidi w:val="0"/>
        <w:spacing w:before="0" w:after="0"/>
        <w:ind w:left="720" w:right="0" w:hanging="360"/>
        <w:jc w:val="both"/>
        <w:rPr>
          <w:caps w:val="false"/>
          <w:smallCaps w:val="false"/>
        </w:rPr>
      </w:pPr>
      <w:r>
        <w:rPr>
          <w:caps w:val="false"/>
          <w:smallCaps w:val="false"/>
        </w:rPr>
        <w:t> </w:t>
      </w:r>
    </w:p>
    <w:tbl>
      <w:tblPr>
        <w:tblW w:w="1938" w:type="dxa"/>
        <w:jc w:val="left"/>
        <w:tblInd w:w="0" w:type="dxa"/>
        <w:tblLayout w:type="fixed"/>
        <w:tblCellMar>
          <w:top w:w="0" w:type="dxa"/>
          <w:left w:w="0" w:type="dxa"/>
          <w:bottom w:w="0" w:type="dxa"/>
          <w:right w:w="0" w:type="dxa"/>
        </w:tblCellMar>
      </w:tblPr>
      <w:tblGrid>
        <w:gridCol w:w="38"/>
        <w:gridCol w:w="275"/>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1625" w:type="dxa"/>
            <w:tcBorders/>
            <w:vAlign w:val="center"/>
          </w:tcPr>
          <w:p>
            <w:pPr>
              <w:pStyle w:val="TableContents"/>
              <w:bidi w:val="0"/>
              <w:spacing w:before="0" w:after="283"/>
              <w:jc w:val="both"/>
              <w:rPr/>
            </w:pPr>
            <w:r>
              <w:rPr/>
              <w:t>Common shares: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number and amount of common shares authorized and issued and outstanding as of December 31, 2025:</w:t>
      </w:r>
    </w:p>
    <w:p>
      <w:pPr>
        <w:pStyle w:val="TextBody"/>
        <w:bidi w:val="0"/>
        <w:spacing w:before="0" w:after="0"/>
        <w:ind w:left="360" w:right="0" w:hanging="0"/>
        <w:jc w:val="both"/>
        <w:rPr>
          <w:caps w:val="false"/>
          <w:smallCaps w:val="false"/>
        </w:rPr>
      </w:pPr>
      <w:r>
        <w:rPr>
          <w:caps w:val="false"/>
          <w:smallCaps w:val="false"/>
        </w:rPr>
        <w:t> </w:t>
      </w:r>
    </w:p>
    <w:tbl>
      <w:tblPr>
        <w:tblW w:w="4482" w:type="dxa"/>
        <w:jc w:val="left"/>
        <w:tblInd w:w="0" w:type="dxa"/>
        <w:tblLayout w:type="fixed"/>
        <w:tblCellMar>
          <w:top w:w="0" w:type="dxa"/>
          <w:left w:w="0" w:type="dxa"/>
          <w:bottom w:w="0" w:type="dxa"/>
          <w:right w:w="0" w:type="dxa"/>
        </w:tblCellMar>
      </w:tblPr>
      <w:tblGrid>
        <w:gridCol w:w="1325"/>
        <w:gridCol w:w="60"/>
        <w:gridCol w:w="66"/>
        <w:gridCol w:w="942"/>
        <w:gridCol w:w="66"/>
        <w:gridCol w:w="66"/>
        <w:gridCol w:w="342"/>
        <w:gridCol w:w="713"/>
        <w:gridCol w:w="66"/>
        <w:gridCol w:w="66"/>
        <w:gridCol w:w="297"/>
        <w:gridCol w:w="398"/>
        <w:gridCol w:w="75"/>
      </w:tblGrid>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22"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Issued and </w:t>
              <w:br/>
              <w:t>Outstanding</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75" w:type="dxa"/>
            <w:tcBorders/>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Unlimited</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2" w:type="dxa"/>
            <w:tcBorders>
              <w:bottom w:val="double" w:sz="10"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Unlimited</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3"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7"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98"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shares have one vote per share. Dividends may be declared and paid on common shares, subject in all cases to authorization by the Board of Directors.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issued and outstanding common shares for the period ended December 31, 2025:</w:t>
      </w:r>
    </w:p>
    <w:p>
      <w:pPr>
        <w:pStyle w:val="TextBody"/>
        <w:bidi w:val="0"/>
        <w:spacing w:before="0" w:after="0"/>
        <w:ind w:left="360" w:right="0" w:hanging="0"/>
        <w:jc w:val="both"/>
        <w:rPr>
          <w:caps w:val="false"/>
          <w:smallCaps w:val="false"/>
        </w:rPr>
      </w:pPr>
      <w:r>
        <w:rPr>
          <w:caps w:val="false"/>
          <w:smallCaps w:val="false"/>
        </w:rPr>
        <w:t> </w:t>
      </w:r>
    </w:p>
    <w:tbl>
      <w:tblPr>
        <w:tblW w:w="4479" w:type="dxa"/>
        <w:jc w:val="left"/>
        <w:tblInd w:w="0" w:type="dxa"/>
        <w:tblLayout w:type="fixed"/>
        <w:tblCellMar>
          <w:top w:w="0" w:type="dxa"/>
          <w:left w:w="0" w:type="dxa"/>
          <w:bottom w:w="0" w:type="dxa"/>
          <w:right w:w="0" w:type="dxa"/>
        </w:tblCellMar>
      </w:tblPr>
      <w:tblGrid>
        <w:gridCol w:w="2735"/>
        <w:gridCol w:w="60"/>
        <w:gridCol w:w="100"/>
        <w:gridCol w:w="610"/>
        <w:gridCol w:w="72"/>
        <w:gridCol w:w="72"/>
        <w:gridCol w:w="151"/>
        <w:gridCol w:w="604"/>
        <w:gridCol w:w="75"/>
      </w:tblGrid>
      <w:tr>
        <w:trPr/>
        <w:tc>
          <w:tcPr>
            <w:tcW w:w="27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09"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7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72" w:type="dxa"/>
            <w:tcBorders/>
            <w:vAlign w:val="center"/>
          </w:tcPr>
          <w:p>
            <w:pPr>
              <w:pStyle w:val="TableContents"/>
              <w:bidi w:val="0"/>
              <w:spacing w:before="0" w:after="283"/>
              <w:jc w:val="center"/>
              <w:rPr>
                <w:caps w:val="false"/>
                <w:smallCaps w:val="false"/>
              </w:rPr>
            </w:pPr>
            <w:r>
              <w:rPr>
                <w:caps w:val="false"/>
                <w:smallCaps w:val="false"/>
              </w:rPr>
              <w:t> </w:t>
            </w:r>
          </w:p>
        </w:tc>
        <w:tc>
          <w:tcPr>
            <w:tcW w:w="72"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7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as of October 2,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0"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1</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4"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as of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Fair value measurement: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the Company’s prepaid expenses and other current assets and due to related party approximate their fair values due to the short-term maturity of these instruments.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Net loss per share: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basic net loss per share attributable to common shareholders for the period ended December 31:</w:t>
      </w:r>
    </w:p>
    <w:p>
      <w:pPr>
        <w:pStyle w:val="TextBody"/>
        <w:bidi w:val="0"/>
        <w:spacing w:before="0" w:after="0"/>
        <w:ind w:left="360" w:right="0" w:hanging="0"/>
        <w:jc w:val="both"/>
        <w:rPr>
          <w:caps w:val="false"/>
          <w:smallCaps w:val="false"/>
        </w:rPr>
      </w:pPr>
      <w:r>
        <w:rPr>
          <w:caps w:val="false"/>
          <w:smallCaps w:val="false"/>
        </w:rPr>
        <w:t> </w:t>
      </w:r>
    </w:p>
    <w:tbl>
      <w:tblPr>
        <w:tblW w:w="6875" w:type="dxa"/>
        <w:jc w:val="left"/>
        <w:tblInd w:w="0" w:type="dxa"/>
        <w:tblLayout w:type="fixed"/>
        <w:tblCellMar>
          <w:top w:w="0" w:type="dxa"/>
          <w:left w:w="0" w:type="dxa"/>
          <w:bottom w:w="0" w:type="dxa"/>
          <w:right w:w="0" w:type="dxa"/>
        </w:tblCellMar>
      </w:tblPr>
      <w:tblGrid>
        <w:gridCol w:w="5945"/>
        <w:gridCol w:w="60"/>
        <w:gridCol w:w="125"/>
        <w:gridCol w:w="650"/>
        <w:gridCol w:w="95"/>
      </w:tblGrid>
      <w:tr>
        <w:trPr/>
        <w:tc>
          <w:tcPr>
            <w:tcW w:w="59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Numerator: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common shareholders,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5" w:type="dxa"/>
            <w:tcBorders/>
            <w:shd w:fill="CCEE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Denominator: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common shares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attributable to common shareholders,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(12,035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one common share.</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Commitments and contingencies:</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Litigation: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become a party to various legal proceedings in the ordinary course of business. Management believes that there are currently no claims or actions pending against the Company, the ultimate disposition of which could have a material adverse effect on the Company’s results of operations, financial condition, or cash flows, including third party infringement claims, labor and employment claims and threatened claims, tax and other matters.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was not subject to any material litigation or material pending litigation claims.</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Related Party Transactions: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sole shareholder (prior to closing of the Business Combination), Director and Chief Executive Officer also serves as Director and Chief Executive Officer of Old Xanadu, a related party. Old Xanadu has provided, and continues to provide, working capital advances for the Company to meet its financial obligations. These advances are non-interest bearing and are due on demand. As of December 31, 2025, the Company owed Old Xanadu $1,818, which is included in Due to related party in the accompanying balance sheet. There were no formal repayment terms in place as of the reporting date.</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Subsequent events: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all events occurring through April 9, 2026, the date on which the Annual Financial Statements were issued, and during which time, nothing has occurred outside the normal course of business operations that would require disclosure except the following:  </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On November 3, 2025, Old Xanadu entered into the Business Combination Agreement with SPAC and Xanadu.  </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Xanadu, Old Xanadu and SPAC consummated the Business Combination. Upon closing, Xanadu became the parent entity of both Old Xanadu and SPAC. Pre-closing, Xanadu’s authorized share capital was amended to consist of three classes of shares: multiple voting shares (the “Class A Multiple Voting Shares”), the Class B Subordinate Voting Shares, and preferred shares issuable in series. At closing of the Business Combination and PIPE Financing, only Class A Multiple Voting Shares and Class B Subordinate Voting Shares were issued and outstanding; no preferred shares have been issued. Each Class A Multiple Voting Share entitles the holder to ten votes per share and each Class B Subordinate Voting Share entitles the holder to one vote per share. Xanadu has authorized an unlimited amount of Class A Multiple Voting Shares, Class B Subordinate Voting Shares, and preferred shares, with no par value.</w:t>
      </w:r>
    </w:p>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pPr>
      <w:r>
        <w:rPr/>
        <w:t> </w:t>
      </w:r>
    </w:p>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 Subsequent events: </w:t>
      </w:r>
      <w:r>
        <w:rPr>
          <w:rFonts w:ascii="Times New Roman;Times;Serif" w:hAnsi="Times New Roman;Times;Serif"/>
          <w:b w:val="false"/>
          <w:i w:val="false"/>
          <w:caps w:val="false"/>
          <w:smallCaps w:val="false"/>
          <w:sz w:val="20"/>
        </w:rPr>
        <w:t>(cont.)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(i) each outstanding Old Xanadu preferred share was converted into and exchanged for one Old Xanadu voting common share; and (ii) one minute thereafter, (A) each outstanding Old Xanadu voting common share (including those issued upon conversion of Old Xanadu preferred shares) was transferred to Xanadu in exchange for  Class A Multiple Voting Shares, and (B) each outstanding Old Xanadu non-voting common share was transferred to Xanadu in exchange for Class B Subordinate Voting Shares, in each case, in a number equal to the Exchange Ratio (as defined in the plan of arrangement with respect to the Business Combination (the “Plan of Arrangement”)), with no fractional Xanadu shares issued.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minute after the foregoing, (i) each option to acquire an Old Xanadu voting common share outstanding immediately prior to the Arrangement Effective Time (as defined in the Plan of Arrangement) (whether vested or unvested and notwithstanding the terms of any Old Xanadu equity incentive plan) was exchanged for  options to acquire Class A Multiple Voting Shares and, (ii) each option to acquire an Old Xanadu non-voting common share outstanding immediately prior to the Arrangement Effective Time (whether vested or unvested and notwithstanding the terms of any Old Xanadu equity incentive plan) was exchanged for options to acquire Xanadu Class B Subordinate Voting Shares.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minute after the foregoing, (i) the SFTrust Warrants (as defined in the Plan of Arrangement) outstanding immediately prior to the Arrangement Effective Time were exchanged for  warrants to purchase Class A Multiple Voting Shares and, (ii) the RBC Warrants (as defined in the Plan of Arrangement) outstanding immediately prior to the Arrangement Effective Time were exchanged for warrants to purchase Class B Subordinate Voting Shares.</w:t>
      </w:r>
    </w:p>
    <w:p>
      <w:pPr>
        <w:pStyle w:val="TextBody"/>
        <w:bidi w:val="0"/>
        <w:spacing w:before="0" w:after="0"/>
        <w:ind w:left="72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br/>
        <w:t>Holders of 19,428,395 SPAC Class A common shares exercised their right to redeem such shares for a pro rata portion of SPAC’s trust account, resulting in aggregate redemption payments of approximately $201,154 ($10.35 per share) out of approximately $227,800 in the SPAC trust account at the time. After redemptions, 3,211,605 SPAC Class A shares remained outstanding and were exchanged for Class B Subordinate Voting Shares.  </w:t>
        <w:br/>
        <w:t> </w:t>
        <w:br/>
        <w:t>Concurrently with the closing of the Business Combination, Xanadu issued 27,500,000 Class B Subordinate Voting Shares to PIPE Investors at $10.00 per share for aggregate gross proceeds of $275,000 pursuant to subscription agreements entered into in connection with the Business Combination Agreement.  As of December 31, 2025, contingent on the issuance of the Class B Subordinate Voting Shares, Xanadu has commitments of up to $28,950 associated with, and contingent on, the closing of the equity raise.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27, 2026, in connection with the closing of the Business Combination, Xanadu was listed on Nasdaq and the TSX under the symbol “XNDU”.</w:t>
      </w:r>
    </w:p>
    <w:p>
      <w:pPr>
        <w:pStyle w:val="TextBody"/>
        <w:bidi w:val="0"/>
        <w:spacing w:before="0" w:after="0"/>
        <w:ind w:left="72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br/>
        <w:t>For accounting purposes, the Business Combination was accounted for as a reverse recapitalization whereby Old Xanadu was treated as the accounting acquirer and SPAC was treated as the acquired company. Xanadu is the legal parent and is not considered to be the accounting acquirer or acquiree in the Business Combination in accordance with U.S. GAAP.</w:t>
      </w:r>
    </w:p>
    <w:p>
      <w:pPr>
        <w:pStyle w:val="TextBody"/>
        <w:bidi w:val="0"/>
        <w:jc w:val="center"/>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pPr>
      <w:r>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3" w:name="k_007"/>
      <w:bookmarkEnd w:id="43"/>
      <w:r>
        <w:rPr>
          <w:rFonts w:ascii="Times New Roman;Times;Serif" w:hAnsi="Times New Roman;Times;Serif"/>
          <w:b/>
          <w:i w:val="false"/>
          <w:caps w:val="false"/>
          <w:smallCaps w:val="false"/>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48"/>
        <w:gridCol w:w="60"/>
        <w:gridCol w:w="147"/>
        <w:gridCol w:w="895"/>
        <w:gridCol w:w="95"/>
        <w:gridCol w:w="60"/>
        <w:gridCol w:w="195"/>
        <w:gridCol w:w="1220"/>
        <w:gridCol w:w="85"/>
      </w:tblGrid>
      <w:tr>
        <w:trPr/>
        <w:tc>
          <w:tcPr>
            <w:tcW w:w="74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85" w:type="dxa"/>
            <w:tcBorders/>
            <w:vAlign w:val="center"/>
          </w:tcPr>
          <w:p>
            <w:pPr>
              <w:pStyle w:val="TableContents"/>
              <w:bidi w:val="0"/>
              <w:spacing w:before="0" w:after="283"/>
              <w:jc w:val="left"/>
              <w:rPr/>
            </w:pPr>
            <w:r>
              <w:rPr/>
              <w:t> </w:t>
            </w:r>
          </w:p>
        </w:tc>
      </w:tr>
      <w:tr>
        <w:trPr/>
        <w:tc>
          <w:tcPr>
            <w:tcW w:w="74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2" w:type="dxa"/>
            <w:gridSpan w:val="2"/>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r>
      <w:tr>
        <w:trPr/>
        <w:tc>
          <w:tcPr>
            <w:tcW w:w="7448"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042"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r>
      <w:tr>
        <w:trPr/>
        <w:tc>
          <w:tcPr>
            <w:tcW w:w="7448"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042"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ind w:left="0" w:right="0" w:hanging="180"/>
              <w:jc w:val="left"/>
              <w:rPr/>
            </w:pPr>
            <w:r>
              <w:rPr/>
              <w:t> </w:t>
            </w:r>
          </w:p>
        </w:tc>
      </w:tr>
      <w:tr>
        <w:trPr/>
        <w:tc>
          <w:tcPr>
            <w:tcW w:w="7448"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895" w:type="dxa"/>
            <w:tcBorders/>
            <w:shd w:fill="CCEEFF" w:val="clear"/>
            <w:vAlign w:val="center"/>
          </w:tcPr>
          <w:p>
            <w:pPr>
              <w:pStyle w:val="TableContents"/>
              <w:bidi w:val="0"/>
              <w:spacing w:before="0" w:after="283"/>
              <w:jc w:val="right"/>
              <w:rPr/>
            </w:pPr>
            <w:r>
              <w:rPr/>
              <w:t>272,465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16,164</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448"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3,673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9,477</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448" w:type="dxa"/>
            <w:tcBorders/>
            <w:shd w:fill="CCEEFF" w:val="clear"/>
            <w:vAlign w:val="center"/>
          </w:tcPr>
          <w:p>
            <w:pPr>
              <w:pStyle w:val="TableContents"/>
              <w:bidi w:val="0"/>
              <w:spacing w:before="0" w:after="283"/>
              <w:jc w:val="left"/>
              <w:rPr/>
            </w:pPr>
            <w:r>
              <w:rPr/>
              <w:t>Materials and supplies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6,106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8,344</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448"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5" w:type="dxa"/>
            <w:tcBorders>
              <w:bottom w:val="single" w:sz="12" w:space="0" w:color="000000"/>
            </w:tcBorders>
            <w:shd w:fill="FFFFFF" w:val="clear"/>
            <w:tcMar>
              <w:bottom w:w="28" w:type="dxa"/>
            </w:tcMar>
            <w:vAlign w:val="center"/>
          </w:tcPr>
          <w:p>
            <w:pPr>
              <w:pStyle w:val="TableContents"/>
              <w:bidi w:val="0"/>
              <w:spacing w:before="0" w:after="283"/>
              <w:jc w:val="right"/>
              <w:rPr/>
            </w:pPr>
            <w:r>
              <w:rPr/>
              <w:t>8,173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6,229</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448"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290,417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40,214</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448"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17,181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18,313</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448" w:type="dxa"/>
            <w:tcBorders/>
            <w:shd w:fill="CCEEFF" w:val="clear"/>
            <w:vAlign w:val="center"/>
          </w:tcPr>
          <w:p>
            <w:pPr>
              <w:pStyle w:val="TableContents"/>
              <w:bidi w:val="0"/>
              <w:spacing w:before="0" w:after="283"/>
              <w:jc w:val="left"/>
              <w:rPr/>
            </w:pPr>
            <w:r>
              <w:rPr/>
              <w:t>Operating right-of-use assets, net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6,607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6,949</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448"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5" w:type="dxa"/>
            <w:tcBorders>
              <w:bottom w:val="single" w:sz="12" w:space="0" w:color="000000"/>
            </w:tcBorders>
            <w:shd w:fill="FFFFFF" w:val="clear"/>
            <w:tcMar>
              <w:bottom w:w="28" w:type="dxa"/>
            </w:tcMar>
            <w:vAlign w:val="center"/>
          </w:tcPr>
          <w:p>
            <w:pPr>
              <w:pStyle w:val="TableContents"/>
              <w:bidi w:val="0"/>
              <w:spacing w:before="0" w:after="283"/>
              <w:jc w:val="right"/>
              <w:rPr/>
            </w:pPr>
            <w:r>
              <w:rPr/>
              <w:t>4,835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5,128</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448"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9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319,040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70,604</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4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448" w:type="dxa"/>
            <w:tcBorders/>
            <w:shd w:fill="CCEEFF" w:val="clear"/>
            <w:vAlign w:val="center"/>
          </w:tcPr>
          <w:p>
            <w:pPr>
              <w:pStyle w:val="TableContents"/>
              <w:bidi w:val="0"/>
              <w:spacing w:before="0" w:after="283"/>
              <w:jc w:val="left"/>
              <w:rPr>
                <w:b/>
              </w:rPr>
            </w:pPr>
            <w:r>
              <w:rPr>
                <w:b/>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448"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448"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895" w:type="dxa"/>
            <w:tcBorders/>
            <w:shd w:fill="CCEEFF" w:val="clear"/>
            <w:vAlign w:val="center"/>
          </w:tcPr>
          <w:p>
            <w:pPr>
              <w:pStyle w:val="TableContents"/>
              <w:bidi w:val="0"/>
              <w:spacing w:before="0" w:after="283"/>
              <w:jc w:val="right"/>
              <w:rPr/>
            </w:pPr>
            <w:r>
              <w:rPr/>
              <w:t>2,903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2,802</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448"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3,278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2,191</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448"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597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544</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448" w:type="dxa"/>
            <w:tcBorders/>
            <w:shd w:fill="FFFFFF" w:val="clear"/>
            <w:vAlign w:val="center"/>
          </w:tcPr>
          <w:p>
            <w:pPr>
              <w:pStyle w:val="TableContents"/>
              <w:bidi w:val="0"/>
              <w:spacing w:before="0" w:after="283"/>
              <w:jc w:val="left"/>
              <w:rPr/>
            </w:pPr>
            <w:r>
              <w:rPr/>
              <w:t>Deferred grant income</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5,229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492</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448" w:type="dxa"/>
            <w:tcBorders/>
            <w:shd w:fill="CCEEFF" w:val="clear"/>
            <w:vAlign w:val="center"/>
          </w:tcPr>
          <w:p>
            <w:pPr>
              <w:pStyle w:val="TableContents"/>
              <w:bidi w:val="0"/>
              <w:spacing w:before="0" w:after="283"/>
              <w:jc w:val="left"/>
              <w:rPr/>
            </w:pPr>
            <w:r>
              <w:rPr/>
              <w:t>Short-term operating lease liabilities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1,064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1,074</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448" w:type="dxa"/>
            <w:tcBorders/>
            <w:shd w:fill="FFFFFF" w:val="clear"/>
            <w:vAlign w:val="center"/>
          </w:tcPr>
          <w:p>
            <w:pPr>
              <w:pStyle w:val="TableContents"/>
              <w:bidi w:val="0"/>
              <w:spacing w:before="0" w:after="283"/>
              <w:jc w:val="left"/>
              <w:rPr/>
            </w:pPr>
            <w:r>
              <w:rPr/>
              <w:t>Earn-out share liabilities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7,164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448" w:type="dxa"/>
            <w:tcBorders/>
            <w:shd w:fill="CCEEFF" w:val="clear"/>
            <w:vAlign w:val="center"/>
          </w:tcPr>
          <w:p>
            <w:pPr>
              <w:pStyle w:val="TableContents"/>
              <w:bidi w:val="0"/>
              <w:spacing w:before="0" w:after="283"/>
              <w:jc w:val="left"/>
              <w:rPr/>
            </w:pPr>
            <w:r>
              <w:rPr/>
              <w:t>Warrant liabilities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1,874</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448"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20,235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8,977</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448" w:type="dxa"/>
            <w:tcBorders/>
            <w:shd w:fill="CCEEFF" w:val="clear"/>
            <w:vAlign w:val="center"/>
          </w:tcPr>
          <w:p>
            <w:pPr>
              <w:pStyle w:val="TableContents"/>
              <w:bidi w:val="0"/>
              <w:spacing w:before="0" w:after="283"/>
              <w:jc w:val="left"/>
              <w:rPr/>
            </w:pPr>
            <w:r>
              <w:rPr/>
              <w:t>Long-term operating lease liabilities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6,795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7,185</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448" w:type="dxa"/>
            <w:tcBorders/>
            <w:shd w:fill="FFFFFF" w:val="clear"/>
            <w:vAlign w:val="center"/>
          </w:tcPr>
          <w:p>
            <w:pPr>
              <w:pStyle w:val="TableContents"/>
              <w:bidi w:val="0"/>
              <w:spacing w:before="0" w:after="283"/>
              <w:jc w:val="left"/>
              <w:rPr/>
            </w:pPr>
            <w:r>
              <w:rPr/>
              <w:t>Long-term debt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5" w:type="dxa"/>
            <w:tcBorders>
              <w:bottom w:val="single" w:sz="12" w:space="0" w:color="000000"/>
            </w:tcBorders>
            <w:shd w:fill="FFFFFF" w:val="clear"/>
            <w:tcMar>
              <w:bottom w:w="28" w:type="dxa"/>
            </w:tcMar>
            <w:vAlign w:val="center"/>
          </w:tcPr>
          <w:p>
            <w:pPr>
              <w:pStyle w:val="TableContents"/>
              <w:bidi w:val="0"/>
              <w:spacing w:before="0" w:after="283"/>
              <w:jc w:val="right"/>
              <w:rPr/>
            </w:pPr>
            <w:r>
              <w:rPr/>
              <w:t>30,033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29,998</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448"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9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57,063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46,160</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4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448" w:type="dxa"/>
            <w:tcBorders/>
            <w:shd w:fill="CCEEFF" w:val="clear"/>
            <w:vAlign w:val="center"/>
          </w:tcPr>
          <w:p>
            <w:pPr>
              <w:pStyle w:val="TableContents"/>
              <w:bidi w:val="0"/>
              <w:spacing w:before="0" w:after="283"/>
              <w:jc w:val="left"/>
              <w:rPr/>
            </w:pPr>
            <w:r>
              <w:rPr/>
              <w:t>Commitments and contingencies (note 15)</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4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448" w:type="dxa"/>
            <w:tcBorders/>
            <w:shd w:fill="CCEEFF" w:val="clear"/>
            <w:vAlign w:val="center"/>
          </w:tcPr>
          <w:p>
            <w:pPr>
              <w:pStyle w:val="TableContents"/>
              <w:bidi w:val="0"/>
              <w:spacing w:before="0" w:after="283"/>
              <w:jc w:val="left"/>
              <w:rPr>
                <w:b/>
              </w:rPr>
            </w:pPr>
            <w:r>
              <w:rPr>
                <w:b/>
              </w:rPr>
              <w:t>Shareholders’ equity: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448" w:type="dxa"/>
            <w:tcBorders/>
            <w:shd w:fill="FFFFFF" w:val="clear"/>
            <w:vAlign w:val="center"/>
          </w:tcPr>
          <w:p>
            <w:pPr>
              <w:pStyle w:val="TableContents"/>
              <w:bidi w:val="0"/>
              <w:spacing w:before="0" w:after="283"/>
              <w:jc w:val="left"/>
              <w:rPr/>
            </w:pPr>
            <w:r>
              <w:rPr/>
              <w:t xml:space="preserve">Old Xanadu convertible preferred shares, no par value, 204,286,254 shares authorized, 199,930,069 issued and outstanding at December 31, 2025 </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w:t>
            </w:r>
          </w:p>
        </w:tc>
        <w:tc>
          <w:tcPr>
            <w:tcW w:w="8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213,002</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448" w:type="dxa"/>
            <w:tcBorders/>
            <w:shd w:fill="CCEEFF" w:val="clear"/>
            <w:vAlign w:val="center"/>
          </w:tcPr>
          <w:p>
            <w:pPr>
              <w:pStyle w:val="TableContents"/>
              <w:bidi w:val="0"/>
              <w:spacing w:before="0" w:after="283"/>
              <w:jc w:val="left"/>
              <w:rPr/>
            </w:pPr>
            <w:r>
              <w:rPr/>
              <w:t xml:space="preserve">Old Xanadu common shares, no par value, 336,123,821 shares authorized, 55,964,876 shares issued and outstanding at December 31, 2025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7,585</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448" w:type="dxa"/>
            <w:tcBorders/>
            <w:shd w:fill="FFFFFF" w:val="clear"/>
            <w:vAlign w:val="center"/>
          </w:tcPr>
          <w:p>
            <w:pPr>
              <w:pStyle w:val="TableContents"/>
              <w:bidi w:val="0"/>
              <w:spacing w:before="0" w:after="283"/>
              <w:jc w:val="left"/>
              <w:rPr/>
            </w:pPr>
            <w:r>
              <w:rPr/>
              <w:t>Common shares, unlimited Xanadu Class A Multiple Voting Shares authorized, no par value, 255,226,928 issued and outstanding; unlimited Xanadu Class B Subordinate Voting Shares authorized, no par value, 43,284,436 shares issued and outstanding at March 31, 2026</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478,174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448"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12,325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10,151</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448"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(228,314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(206,303</w:t>
            </w:r>
          </w:p>
        </w:tc>
        <w:tc>
          <w:tcPr>
            <w:tcW w:w="85" w:type="dxa"/>
            <w:tcBorders/>
            <w:shd w:fill="FFFFFF" w:val="clear"/>
            <w:vAlign w:val="center"/>
          </w:tcPr>
          <w:p>
            <w:pPr>
              <w:pStyle w:val="TableContents"/>
              <w:bidi w:val="0"/>
              <w:spacing w:before="0" w:after="283"/>
              <w:ind w:left="0" w:right="0" w:hanging="180"/>
              <w:jc w:val="left"/>
              <w:rPr/>
            </w:pPr>
            <w:r>
              <w:rPr/>
              <w:t>)</w:t>
            </w:r>
          </w:p>
        </w:tc>
      </w:tr>
      <w:tr>
        <w:trPr/>
        <w:tc>
          <w:tcPr>
            <w:tcW w:w="7448" w:type="dxa"/>
            <w:tcBorders/>
            <w:shd w:fill="CCEEFF" w:val="clear"/>
            <w:vAlign w:val="center"/>
          </w:tcPr>
          <w:p>
            <w:pPr>
              <w:pStyle w:val="TableContents"/>
              <w:bidi w:val="0"/>
              <w:spacing w:before="0" w:after="283"/>
              <w:jc w:val="left"/>
              <w:rPr/>
            </w:pPr>
            <w:r>
              <w:rPr/>
              <w:t>Accumulated other comprehensive income (loss)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5" w:type="dxa"/>
            <w:tcBorders>
              <w:bottom w:val="single" w:sz="12" w:space="0" w:color="000000"/>
            </w:tcBorders>
            <w:shd w:fill="CCEEFF" w:val="clear"/>
            <w:tcMar>
              <w:bottom w:w="28" w:type="dxa"/>
            </w:tcMar>
            <w:vAlign w:val="center"/>
          </w:tcPr>
          <w:p>
            <w:pPr>
              <w:pStyle w:val="TableContents"/>
              <w:bidi w:val="0"/>
              <w:spacing w:before="0" w:after="283"/>
              <w:jc w:val="right"/>
              <w:rPr/>
            </w:pPr>
            <w:r>
              <w:rPr/>
              <w:t>(208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9</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448" w:type="dxa"/>
            <w:tcBorders/>
            <w:shd w:fill="FFFFFF" w:val="clear"/>
            <w:vAlign w:val="center"/>
          </w:tcPr>
          <w:p>
            <w:pPr>
              <w:pStyle w:val="TableContents"/>
              <w:bidi w:val="0"/>
              <w:spacing w:before="0" w:after="283"/>
              <w:jc w:val="left"/>
              <w:rPr>
                <w:b/>
              </w:rPr>
            </w:pPr>
            <w:r>
              <w:rPr>
                <w:b/>
              </w:rPr>
              <w:t>Total shareholders’ equity</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89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261,977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24,444</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448" w:type="dxa"/>
            <w:tcBorders/>
            <w:shd w:fill="CCEEFF" w:val="clear"/>
            <w:vAlign w:val="center"/>
          </w:tcPr>
          <w:p>
            <w:pPr>
              <w:pStyle w:val="TableContents"/>
              <w:bidi w:val="0"/>
              <w:spacing w:before="0" w:after="283"/>
              <w:jc w:val="left"/>
              <w:rPr>
                <w:b/>
              </w:rPr>
            </w:pPr>
            <w:r>
              <w:rPr>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9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319,040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70,604</w:t>
            </w:r>
          </w:p>
        </w:tc>
        <w:tc>
          <w:tcPr>
            <w:tcW w:w="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osition w:val="8"/>
                <w:sz w:val="19"/>
              </w:rPr>
            </w:pPr>
            <w:r>
              <w:rPr>
                <w:position w:val="8"/>
                <w:sz w:val="19"/>
              </w:rPr>
              <w:t>(1)</w:t>
            </w:r>
          </w:p>
        </w:tc>
        <w:tc>
          <w:tcPr>
            <w:tcW w:w="9951" w:type="dxa"/>
            <w:tcBorders/>
            <w:vAlign w:val="center"/>
          </w:tcPr>
          <w:p>
            <w:pPr>
              <w:pStyle w:val="TableContents"/>
              <w:bidi w:val="0"/>
              <w:spacing w:before="0" w:after="283"/>
              <w:jc w:val="both"/>
              <w:rPr/>
            </w:pPr>
            <w:r>
              <w:rPr/>
              <w:t>Old Xanadu convertible preferred shares and common shares have been retroactively recast after giving effect to the Reverse Recapitalization. Refer to Note 3 for additional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events (note 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 behalf of the Board of Directors</w:t>
      </w:r>
    </w:p>
    <w:p>
      <w:pPr>
        <w:pStyle w:val="TextBody"/>
        <w:bidi w:val="0"/>
        <w:spacing w:before="0" w:after="0"/>
        <w:ind w:left="0" w:right="0" w:hanging="0"/>
        <w:jc w:val="center"/>
        <w:rPr>
          <w:caps w:val="false"/>
          <w:smallCaps w:val="false"/>
        </w:rPr>
      </w:pPr>
      <w:r>
        <w:rPr>
          <w:caps w:val="false"/>
          <w:smallCaps w:val="false"/>
        </w:rPr>
        <w:t> </w:t>
      </w:r>
    </w:p>
    <w:tbl>
      <w:tblPr>
        <w:tblW w:w="6730" w:type="dxa"/>
        <w:jc w:val="left"/>
        <w:tblInd w:w="0" w:type="dxa"/>
        <w:tblLayout w:type="fixed"/>
        <w:tblCellMar>
          <w:top w:w="0" w:type="dxa"/>
          <w:left w:w="0" w:type="dxa"/>
          <w:bottom w:w="28" w:type="dxa"/>
          <w:right w:w="0" w:type="dxa"/>
        </w:tblCellMar>
      </w:tblPr>
      <w:tblGrid>
        <w:gridCol w:w="4835"/>
        <w:gridCol w:w="60"/>
        <w:gridCol w:w="1835"/>
      </w:tblGrid>
      <w:tr>
        <w:trPr/>
        <w:tc>
          <w:tcPr>
            <w:tcW w:w="48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Christian Weedbrook</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Michelle Reynolds</w:t>
            </w:r>
          </w:p>
        </w:tc>
      </w:tr>
      <w:tr>
        <w:trPr/>
        <w:tc>
          <w:tcPr>
            <w:tcW w:w="48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Christian Weedbrook, 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8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4" w:name="k_008"/>
      <w:bookmarkEnd w:id="44"/>
      <w:r>
        <w:rPr>
          <w:rFonts w:ascii="Times New Roman;Times;Serif" w:hAnsi="Times New Roman;Times;Serif"/>
          <w:b/>
          <w:i w:val="false"/>
          <w:caps w:val="false"/>
          <w:smallCaps w:val="false"/>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and Comprehensive Loss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9185" w:type="dxa"/>
        <w:jc w:val="left"/>
        <w:tblInd w:w="0" w:type="dxa"/>
        <w:tblLayout w:type="fixed"/>
        <w:tblCellMar>
          <w:top w:w="0" w:type="dxa"/>
          <w:left w:w="0" w:type="dxa"/>
          <w:bottom w:w="0" w:type="dxa"/>
          <w:right w:w="0" w:type="dxa"/>
        </w:tblCellMar>
      </w:tblPr>
      <w:tblGrid>
        <w:gridCol w:w="6380"/>
        <w:gridCol w:w="60"/>
        <w:gridCol w:w="140"/>
        <w:gridCol w:w="1100"/>
        <w:gridCol w:w="95"/>
        <w:gridCol w:w="60"/>
        <w:gridCol w:w="140"/>
        <w:gridCol w:w="1100"/>
        <w:gridCol w:w="110"/>
      </w:tblGrid>
      <w:tr>
        <w:trPr/>
        <w:tc>
          <w:tcPr>
            <w:tcW w:w="6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110" w:type="dxa"/>
            <w:tcBorders/>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2,832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699</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pPr>
            <w:r>
              <w:rPr/>
              <w:t>Cost of revenue (exclusive of depreciation and amortization below)</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49</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17,348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10,009</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9,759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1,912</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228</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1,277</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pPr>
            <w:r>
              <w:rPr/>
              <w:t>Other operating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(4,139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(11</w:t>
            </w:r>
          </w:p>
        </w:tc>
        <w:tc>
          <w:tcPr>
            <w:tcW w:w="110" w:type="dxa"/>
            <w:tcBorders/>
            <w:shd w:fill="CCEEFF" w:val="clear"/>
            <w:vAlign w:val="center"/>
          </w:tcPr>
          <w:p>
            <w:pPr>
              <w:pStyle w:val="TableContents"/>
              <w:bidi w:val="0"/>
              <w:spacing w:before="0" w:after="283"/>
              <w:jc w:val="left"/>
              <w:rPr/>
            </w:pPr>
            <w:r>
              <w:rPr/>
              <w:t>)</w:t>
            </w:r>
          </w:p>
        </w:tc>
      </w:tr>
      <w:tr>
        <w:trPr/>
        <w:tc>
          <w:tcPr>
            <w:tcW w:w="638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26,099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13,464</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(23,267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(12,765</w:t>
            </w:r>
          </w:p>
        </w:tc>
        <w:tc>
          <w:tcPr>
            <w:tcW w:w="110" w:type="dxa"/>
            <w:tcBorders/>
            <w:shd w:fill="CCEEFF" w:val="clear"/>
            <w:vAlign w:val="center"/>
          </w:tcPr>
          <w:p>
            <w:pPr>
              <w:pStyle w:val="TableContents"/>
              <w:bidi w:val="0"/>
              <w:spacing w:before="0" w:after="283"/>
              <w:jc w:val="left"/>
              <w:rPr>
                <w:b/>
              </w:rPr>
            </w:pPr>
            <w:r>
              <w:rPr>
                <w:b/>
              </w:rPr>
              <w:t>)</w:t>
            </w:r>
          </w:p>
        </w:tc>
      </w:tr>
      <w:tr>
        <w:trPr/>
        <w:tc>
          <w:tcPr>
            <w:tcW w:w="6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b/>
              </w:rPr>
            </w:pPr>
            <w:r>
              <w:rPr>
                <w:b/>
              </w:rPr>
              <w:t>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pPr>
            <w:r>
              <w:rPr/>
              <w:t>Interest income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553</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pPr>
            <w:r>
              <w:rPr/>
              <w:t>Gain on fair value of earn out share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7</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pPr>
            <w:r>
              <w:rPr/>
              <w:t>Total 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2,663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560</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(20,604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(12,205</w:t>
            </w:r>
          </w:p>
        </w:tc>
        <w:tc>
          <w:tcPr>
            <w:tcW w:w="110" w:type="dxa"/>
            <w:tcBorders/>
            <w:shd w:fill="FFFFFF" w:val="clear"/>
            <w:vAlign w:val="center"/>
          </w:tcPr>
          <w:p>
            <w:pPr>
              <w:pStyle w:val="TableContents"/>
              <w:bidi w:val="0"/>
              <w:spacing w:before="0" w:after="283"/>
              <w:jc w:val="left"/>
              <w:rPr>
                <w:b/>
              </w:rPr>
            </w:pPr>
            <w:r>
              <w:rPr>
                <w:b/>
              </w:rPr>
              <w:t>)</w:t>
            </w:r>
          </w:p>
        </w:tc>
      </w:tr>
      <w:tr>
        <w:trPr/>
        <w:tc>
          <w:tcPr>
            <w:tcW w:w="63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pPr>
            <w:r>
              <w:rPr/>
              <w:t xml:space="preserve">Net loss per share, basic and diluted </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(0.22</w:t>
            </w:r>
          </w:p>
        </w:tc>
        <w:tc>
          <w:tcPr>
            <w:tcW w:w="110" w:type="dxa"/>
            <w:tcBorders/>
            <w:shd w:fill="FFFFFF" w:val="clear"/>
            <w:vAlign w:val="center"/>
          </w:tcPr>
          <w:p>
            <w:pPr>
              <w:pStyle w:val="TableContents"/>
              <w:bidi w:val="0"/>
              <w:spacing w:before="0" w:after="283"/>
              <w:jc w:val="left"/>
              <w:rPr/>
            </w:pPr>
            <w:r>
              <w:rPr/>
              <w:t>)</w:t>
            </w:r>
          </w:p>
        </w:tc>
      </w:tr>
      <w:tr>
        <w:trPr/>
        <w:tc>
          <w:tcPr>
            <w:tcW w:w="6380" w:type="dxa"/>
            <w:tcBorders/>
            <w:shd w:fill="CCEEFF" w:val="clear"/>
            <w:vAlign w:val="center"/>
          </w:tcPr>
          <w:p>
            <w:pPr>
              <w:pStyle w:val="TableContents"/>
              <w:bidi w:val="0"/>
              <w:spacing w:before="0" w:after="283"/>
              <w:jc w:val="left"/>
              <w:rPr/>
            </w:pPr>
            <w:r>
              <w:rPr/>
              <w:t xml:space="preserve">Weighted average shares outstanding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72,458,652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55,649,457</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b/>
              </w:rPr>
            </w:pPr>
            <w:r>
              <w:rPr>
                <w:b/>
              </w:rPr>
              <w:t>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(20,604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(12,205</w:t>
            </w:r>
          </w:p>
        </w:tc>
        <w:tc>
          <w:tcPr>
            <w:tcW w:w="110" w:type="dxa"/>
            <w:tcBorders/>
            <w:shd w:fill="FFFFFF" w:val="clear"/>
            <w:vAlign w:val="center"/>
          </w:tcPr>
          <w:p>
            <w:pPr>
              <w:pStyle w:val="TableContents"/>
              <w:bidi w:val="0"/>
              <w:spacing w:before="0" w:after="283"/>
              <w:jc w:val="left"/>
              <w:rPr/>
            </w:pPr>
            <w:r>
              <w:rPr/>
              <w:t>)</w:t>
            </w:r>
          </w:p>
        </w:tc>
      </w:tr>
      <w:tr>
        <w:trPr/>
        <w:tc>
          <w:tcPr>
            <w:tcW w:w="6380" w:type="dxa"/>
            <w:tcBorders/>
            <w:shd w:fill="CCEEFF" w:val="clear"/>
            <w:vAlign w:val="center"/>
          </w:tcPr>
          <w:p>
            <w:pPr>
              <w:pStyle w:val="TableContents"/>
              <w:bidi w:val="0"/>
              <w:spacing w:before="0" w:after="283"/>
              <w:jc w:val="left"/>
              <w:rPr/>
            </w:pPr>
            <w:r>
              <w:rPr/>
              <w:t>Cumulative translation adjustment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63</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b/>
              </w:rPr>
            </w:pPr>
            <w:r>
              <w:rPr>
                <w:b/>
              </w:rPr>
              <w:t>Net comprehensive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(20,821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(12,142</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osition w:val="8"/>
                <w:sz w:val="19"/>
              </w:rPr>
            </w:pPr>
            <w:r>
              <w:rPr>
                <w:position w:val="8"/>
                <w:sz w:val="19"/>
              </w:rPr>
              <w:t>(1)</w:t>
            </w:r>
          </w:p>
        </w:tc>
        <w:tc>
          <w:tcPr>
            <w:tcW w:w="9940" w:type="dxa"/>
            <w:tcBorders/>
            <w:vAlign w:val="center"/>
          </w:tcPr>
          <w:p>
            <w:pPr>
              <w:pStyle w:val="TableContents"/>
              <w:bidi w:val="0"/>
              <w:spacing w:before="0" w:after="283"/>
              <w:jc w:val="both"/>
              <w:rPr/>
            </w:pPr>
            <w:r>
              <w:rPr/>
              <w:t>Net loss per share and weighted average shares outstanding have been retroactively recast after giving effect to the Reverse Recapitalization.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5" w:name="k_009"/>
      <w:bookmarkEnd w:id="45"/>
      <w:r>
        <w:rPr>
          <w:rFonts w:ascii="Times New Roman;Times;Serif" w:hAnsi="Times New Roman;Times;Serif"/>
          <w:b/>
          <w:i w:val="false"/>
          <w:caps w:val="false"/>
          <w:smallCaps w:val="false"/>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39"/>
        <w:gridCol w:w="60"/>
        <w:gridCol w:w="148"/>
        <w:gridCol w:w="847"/>
        <w:gridCol w:w="100"/>
        <w:gridCol w:w="63"/>
        <w:gridCol w:w="148"/>
        <w:gridCol w:w="800"/>
        <w:gridCol w:w="100"/>
      </w:tblGrid>
      <w:tr>
        <w:trPr/>
        <w:tc>
          <w:tcPr>
            <w:tcW w:w="7939"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10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100" w:type="dxa"/>
            <w:tcBorders/>
            <w:vAlign w:val="center"/>
          </w:tcPr>
          <w:p>
            <w:pPr>
              <w:pStyle w:val="TableContents"/>
              <w:bidi w:val="0"/>
              <w:spacing w:before="0" w:after="283"/>
              <w:ind w:left="0" w:right="0" w:hanging="180"/>
              <w:jc w:val="left"/>
              <w:rPr/>
            </w:pPr>
            <w:r>
              <w:rPr/>
              <w:t> </w:t>
            </w:r>
          </w:p>
        </w:tc>
      </w:tr>
      <w:tr>
        <w:trPr/>
        <w:tc>
          <w:tcPr>
            <w:tcW w:w="79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0" w:type="dxa"/>
            <w:tcBorders/>
            <w:vAlign w:val="center"/>
          </w:tcPr>
          <w:p>
            <w:pPr>
              <w:pStyle w:val="TableContents"/>
              <w:bidi w:val="0"/>
              <w:spacing w:before="0" w:after="283"/>
              <w:ind w:left="0" w:right="0" w:hanging="180"/>
              <w:jc w:val="left"/>
              <w:rPr/>
            </w:pPr>
            <w:r>
              <w:rPr/>
              <w:t> </w:t>
            </w:r>
          </w:p>
        </w:tc>
      </w:tr>
      <w:tr>
        <w:trPr/>
        <w:tc>
          <w:tcPr>
            <w:tcW w:w="7939"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48" w:type="dxa"/>
            <w:gridSpan w:val="2"/>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ind w:left="0" w:right="0" w:hanging="180"/>
              <w:jc w:val="left"/>
              <w:rPr/>
            </w:pPr>
            <w:r>
              <w:rPr/>
              <w:t> </w:t>
            </w:r>
          </w:p>
        </w:tc>
      </w:tr>
      <w:tr>
        <w:trPr/>
        <w:tc>
          <w:tcPr>
            <w:tcW w:w="7939"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847" w:type="dxa"/>
            <w:tcBorders/>
            <w:shd w:fill="CCEEFF" w:val="clear"/>
            <w:vAlign w:val="center"/>
          </w:tcPr>
          <w:p>
            <w:pPr>
              <w:pStyle w:val="TableContents"/>
              <w:bidi w:val="0"/>
              <w:spacing w:before="0" w:after="283"/>
              <w:jc w:val="right"/>
              <w:rPr/>
            </w:pPr>
            <w:r>
              <w:rPr/>
              <w:t>(20,604</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(12,205</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7939" w:type="dxa"/>
            <w:tcBorders/>
            <w:shd w:fill="FFFF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939"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1,617</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1,277</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939" w:type="dxa"/>
            <w:tcBorders/>
            <w:shd w:fill="FFFFFF" w:val="clear"/>
            <w:vAlign w:val="center"/>
          </w:tcPr>
          <w:p>
            <w:pPr>
              <w:pStyle w:val="TableContents"/>
              <w:bidi w:val="0"/>
              <w:spacing w:before="0" w:after="283"/>
              <w:jc w:val="left"/>
              <w:rPr/>
            </w:pPr>
            <w:r>
              <w:rPr/>
              <w:t>Amortization of operating right of use assets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163</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218</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939"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1,408</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811</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939" w:type="dxa"/>
            <w:tcBorders/>
            <w:shd w:fill="FFFFFF" w:val="clear"/>
            <w:vAlign w:val="center"/>
          </w:tcPr>
          <w:p>
            <w:pPr>
              <w:pStyle w:val="TableContents"/>
              <w:bidi w:val="0"/>
              <w:spacing w:before="0" w:after="283"/>
              <w:jc w:val="left"/>
              <w:rPr/>
            </w:pPr>
            <w:r>
              <w:rPr/>
              <w:t>Amortization of debt issuance costs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939" w:type="dxa"/>
            <w:tcBorders/>
            <w:shd w:fill="CCEEFF" w:val="clear"/>
            <w:vAlign w:val="center"/>
          </w:tcPr>
          <w:p>
            <w:pPr>
              <w:pStyle w:val="TableContents"/>
              <w:bidi w:val="0"/>
              <w:spacing w:before="0" w:after="283"/>
              <w:jc w:val="left"/>
              <w:rPr/>
            </w:pPr>
            <w:r>
              <w:rPr/>
              <w:t>Interest accretion on long-term debt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282</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200</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939" w:type="dxa"/>
            <w:tcBorders/>
            <w:shd w:fill="FFFFFF" w:val="clear"/>
            <w:vAlign w:val="center"/>
          </w:tcPr>
          <w:p>
            <w:pPr>
              <w:pStyle w:val="TableContents"/>
              <w:bidi w:val="0"/>
              <w:spacing w:before="0" w:after="283"/>
              <w:jc w:val="left"/>
              <w:rPr/>
            </w:pPr>
            <w:r>
              <w:rPr/>
              <w:t>Change in fair value of financial instruments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(1,938</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(13</w:t>
            </w:r>
          </w:p>
        </w:tc>
        <w:tc>
          <w:tcPr>
            <w:tcW w:w="100" w:type="dxa"/>
            <w:tcBorders/>
            <w:shd w:fill="FFFFFF" w:val="clear"/>
            <w:vAlign w:val="center"/>
          </w:tcPr>
          <w:p>
            <w:pPr>
              <w:pStyle w:val="TableContents"/>
              <w:bidi w:val="0"/>
              <w:spacing w:before="0" w:after="283"/>
              <w:ind w:left="0" w:right="0" w:hanging="180"/>
              <w:jc w:val="left"/>
              <w:rPr/>
            </w:pPr>
            <w:r>
              <w:rPr/>
              <w:t>)</w:t>
            </w:r>
          </w:p>
        </w:tc>
      </w:tr>
      <w:tr>
        <w:trPr/>
        <w:tc>
          <w:tcPr>
            <w:tcW w:w="7939" w:type="dxa"/>
            <w:tcBorders/>
            <w:shd w:fill="CCEEFF" w:val="clear"/>
            <w:vAlign w:val="center"/>
          </w:tcPr>
          <w:p>
            <w:pPr>
              <w:pStyle w:val="TableContents"/>
              <w:bidi w:val="0"/>
              <w:spacing w:before="0" w:after="283"/>
              <w:jc w:val="left"/>
              <w:rPr/>
            </w:pPr>
            <w:r>
              <w:rPr/>
              <w:t>Change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939"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5,767</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(93</w:t>
            </w:r>
          </w:p>
        </w:tc>
        <w:tc>
          <w:tcPr>
            <w:tcW w:w="100" w:type="dxa"/>
            <w:tcBorders/>
            <w:shd w:fill="FFFFFF" w:val="clear"/>
            <w:vAlign w:val="center"/>
          </w:tcPr>
          <w:p>
            <w:pPr>
              <w:pStyle w:val="TableContents"/>
              <w:bidi w:val="0"/>
              <w:spacing w:before="0" w:after="283"/>
              <w:ind w:left="0" w:right="0" w:hanging="180"/>
              <w:jc w:val="left"/>
              <w:rPr/>
            </w:pPr>
            <w:r>
              <w:rPr/>
              <w:t>)</w:t>
            </w:r>
          </w:p>
        </w:tc>
      </w:tr>
      <w:tr>
        <w:trPr/>
        <w:tc>
          <w:tcPr>
            <w:tcW w:w="7939" w:type="dxa"/>
            <w:tcBorders/>
            <w:shd w:fill="CCEEFF" w:val="clear"/>
            <w:vAlign w:val="center"/>
          </w:tcPr>
          <w:p>
            <w:pPr>
              <w:pStyle w:val="TableContents"/>
              <w:bidi w:val="0"/>
              <w:spacing w:before="0" w:after="283"/>
              <w:jc w:val="left"/>
              <w:rPr/>
            </w:pPr>
            <w:r>
              <w:rPr/>
              <w:t>Material and supplies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2,144</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(3,042</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7939"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(1,797</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(532</w:t>
            </w:r>
          </w:p>
        </w:tc>
        <w:tc>
          <w:tcPr>
            <w:tcW w:w="100" w:type="dxa"/>
            <w:tcBorders/>
            <w:shd w:fill="FFFFFF" w:val="clear"/>
            <w:vAlign w:val="center"/>
          </w:tcPr>
          <w:p>
            <w:pPr>
              <w:pStyle w:val="TableContents"/>
              <w:bidi w:val="0"/>
              <w:spacing w:before="0" w:after="283"/>
              <w:ind w:left="0" w:right="0" w:hanging="180"/>
              <w:jc w:val="left"/>
              <w:rPr/>
            </w:pPr>
            <w:r>
              <w:rPr/>
              <w:t>)</w:t>
            </w:r>
          </w:p>
        </w:tc>
      </w:tr>
      <w:tr>
        <w:trPr/>
        <w:tc>
          <w:tcPr>
            <w:tcW w:w="7939"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464</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(860</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7939"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836</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(1,862</w:t>
            </w:r>
          </w:p>
        </w:tc>
        <w:tc>
          <w:tcPr>
            <w:tcW w:w="100" w:type="dxa"/>
            <w:tcBorders/>
            <w:shd w:fill="FFFFFF" w:val="clear"/>
            <w:vAlign w:val="center"/>
          </w:tcPr>
          <w:p>
            <w:pPr>
              <w:pStyle w:val="TableContents"/>
              <w:bidi w:val="0"/>
              <w:spacing w:before="0" w:after="283"/>
              <w:ind w:left="0" w:right="0" w:hanging="180"/>
              <w:jc w:val="left"/>
              <w:rPr/>
            </w:pPr>
            <w:r>
              <w:rPr/>
              <w:t>)</w:t>
            </w:r>
          </w:p>
        </w:tc>
      </w:tr>
      <w:tr>
        <w:trPr/>
        <w:tc>
          <w:tcPr>
            <w:tcW w:w="7939"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63</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54</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939" w:type="dxa"/>
            <w:tcBorders/>
            <w:shd w:fill="FFFFFF" w:val="clear"/>
            <w:vAlign w:val="center"/>
          </w:tcPr>
          <w:p>
            <w:pPr>
              <w:pStyle w:val="TableContents"/>
              <w:bidi w:val="0"/>
              <w:spacing w:before="0" w:after="283"/>
              <w:jc w:val="left"/>
              <w:rPr/>
            </w:pPr>
            <w:r>
              <w:rPr/>
              <w:t>Deferred grant income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4,849</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939"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pPr>
            <w:r>
              <w:rPr/>
              <w:t>(289</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(255</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7939" w:type="dxa"/>
            <w:tcBorders/>
            <w:shd w:fill="FFFFFF" w:val="clear"/>
            <w:vAlign w:val="center"/>
          </w:tcPr>
          <w:p>
            <w:pPr>
              <w:pStyle w:val="TableContents"/>
              <w:bidi w:val="0"/>
              <w:spacing w:before="0" w:after="283"/>
              <w:jc w:val="left"/>
              <w:rPr>
                <w:b/>
              </w:rPr>
            </w:pPr>
            <w:r>
              <w:rPr>
                <w:b/>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b/>
              </w:rPr>
            </w:pPr>
            <w:r>
              <w:rPr>
                <w:b/>
              </w:rPr>
              <w:t>(7,035</w:t>
            </w:r>
          </w:p>
        </w:tc>
        <w:tc>
          <w:tcPr>
            <w:tcW w:w="100" w:type="dxa"/>
            <w:tcBorders/>
            <w:shd w:fill="FFFFFF" w:val="clear"/>
            <w:vAlign w:val="center"/>
          </w:tcPr>
          <w:p>
            <w:pPr>
              <w:pStyle w:val="TableContents"/>
              <w:bidi w:val="0"/>
              <w:spacing w:before="0" w:after="283"/>
              <w:jc w:val="left"/>
              <w:rPr>
                <w:b/>
              </w:rPr>
            </w:pPr>
            <w:r>
              <w:rPr>
                <w:b/>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b/>
              </w:rPr>
            </w:pPr>
            <w:r>
              <w:rPr>
                <w:b/>
              </w:rPr>
              <w:t>(16,293</w:t>
            </w:r>
          </w:p>
        </w:tc>
        <w:tc>
          <w:tcPr>
            <w:tcW w:w="100" w:type="dxa"/>
            <w:tcBorders/>
            <w:shd w:fill="FFFFFF" w:val="clear"/>
            <w:vAlign w:val="center"/>
          </w:tcPr>
          <w:p>
            <w:pPr>
              <w:pStyle w:val="TableContents"/>
              <w:bidi w:val="0"/>
              <w:spacing w:before="0" w:after="283"/>
              <w:ind w:left="0" w:right="0" w:hanging="180"/>
              <w:jc w:val="left"/>
              <w:rPr>
                <w:b/>
              </w:rPr>
            </w:pPr>
            <w:r>
              <w:rPr>
                <w:b/>
              </w:rPr>
              <w:t>)</w:t>
            </w:r>
          </w:p>
        </w:tc>
      </w:tr>
      <w:tr>
        <w:trPr/>
        <w:tc>
          <w:tcPr>
            <w:tcW w:w="79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939"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939" w:type="dxa"/>
            <w:tcBorders/>
            <w:shd w:fill="CCEEFF" w:val="clear"/>
            <w:vAlign w:val="center"/>
          </w:tcPr>
          <w:p>
            <w:pPr>
              <w:pStyle w:val="TableContents"/>
              <w:bidi w:val="0"/>
              <w:spacing w:before="0" w:after="283"/>
              <w:jc w:val="left"/>
              <w:rPr/>
            </w:pPr>
            <w:r>
              <w:rPr/>
              <w:t>Proceeds from reverse recapitalization and Private Investment in Public Equity (“PIPE”) transaction, net of transaction costs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263,599</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939" w:type="dxa"/>
            <w:tcBorders/>
            <w:shd w:fill="FFFFFF" w:val="clear"/>
            <w:vAlign w:val="center"/>
          </w:tcPr>
          <w:p>
            <w:pPr>
              <w:pStyle w:val="TableContents"/>
              <w:bidi w:val="0"/>
              <w:spacing w:before="0" w:after="283"/>
              <w:jc w:val="left"/>
              <w:rPr/>
            </w:pPr>
            <w:r>
              <w:rPr/>
              <w:t>Proceeds from exercise of stock options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534</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54</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939" w:type="dxa"/>
            <w:tcBorders/>
            <w:shd w:fill="CCEEFF" w:val="clear"/>
            <w:vAlign w:val="center"/>
          </w:tcPr>
          <w:p>
            <w:pPr>
              <w:pStyle w:val="TableContents"/>
              <w:bidi w:val="0"/>
              <w:spacing w:before="0" w:after="283"/>
              <w:jc w:val="left"/>
              <w:rPr/>
            </w:pPr>
            <w:r>
              <w:rPr/>
              <w:t>Proceeds from long-term debt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pPr>
            <w:r>
              <w:rPr/>
              <w:t>228</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2,185</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939" w:type="dxa"/>
            <w:tcBorders/>
            <w:shd w:fill="FFFFFF" w:val="clear"/>
            <w:vAlign w:val="center"/>
          </w:tcPr>
          <w:p>
            <w:pPr>
              <w:pStyle w:val="TableContents"/>
              <w:bidi w:val="0"/>
              <w:spacing w:before="0" w:after="283"/>
              <w:jc w:val="left"/>
              <w:rPr>
                <w:b/>
              </w:rPr>
            </w:pPr>
            <w:r>
              <w:rPr>
                <w:b/>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b/>
              </w:rPr>
            </w:pPr>
            <w:r>
              <w:rPr>
                <w:b/>
              </w:rPr>
              <w:t>264,361</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b/>
              </w:rPr>
            </w:pPr>
            <w:r>
              <w:rPr>
                <w:b/>
              </w:rPr>
              <w:t>2,239</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9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939"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939"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(313</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(1,263</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7939" w:type="dxa"/>
            <w:tcBorders/>
            <w:shd w:fill="FFFFFF" w:val="clear"/>
            <w:vAlign w:val="center"/>
          </w:tcPr>
          <w:p>
            <w:pPr>
              <w:pStyle w:val="TableContents"/>
              <w:bidi w:val="0"/>
              <w:spacing w:before="0" w:after="283"/>
              <w:jc w:val="left"/>
              <w:rPr/>
            </w:pPr>
            <w:r>
              <w:rPr/>
              <w:t>Purchase of intangible assets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FFFFFF" w:val="clear"/>
            <w:tcMar>
              <w:bottom w:w="28" w:type="dxa"/>
            </w:tcMar>
            <w:vAlign w:val="center"/>
          </w:tcPr>
          <w:p>
            <w:pPr>
              <w:pStyle w:val="TableContents"/>
              <w:bidi w:val="0"/>
              <w:spacing w:before="0" w:after="283"/>
              <w:jc w:val="right"/>
              <w:rPr/>
            </w:pPr>
            <w:r>
              <w:rPr/>
              <w:t>(215</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(583</w:t>
            </w:r>
          </w:p>
        </w:tc>
        <w:tc>
          <w:tcPr>
            <w:tcW w:w="100" w:type="dxa"/>
            <w:tcBorders/>
            <w:shd w:fill="FFFFFF" w:val="clear"/>
            <w:vAlign w:val="center"/>
          </w:tcPr>
          <w:p>
            <w:pPr>
              <w:pStyle w:val="TableContents"/>
              <w:bidi w:val="0"/>
              <w:spacing w:before="0" w:after="283"/>
              <w:ind w:left="0" w:right="0" w:hanging="180"/>
              <w:jc w:val="left"/>
              <w:rPr/>
            </w:pPr>
            <w:r>
              <w:rPr/>
              <w:t>)</w:t>
            </w:r>
          </w:p>
        </w:tc>
      </w:tr>
      <w:tr>
        <w:trPr/>
        <w:tc>
          <w:tcPr>
            <w:tcW w:w="7939" w:type="dxa"/>
            <w:tcBorders/>
            <w:shd w:fill="CCEEFF" w:val="clear"/>
            <w:vAlign w:val="center"/>
          </w:tcPr>
          <w:p>
            <w:pPr>
              <w:pStyle w:val="TableContents"/>
              <w:bidi w:val="0"/>
              <w:spacing w:before="0" w:after="283"/>
              <w:jc w:val="left"/>
              <w:rPr>
                <w:b/>
              </w:rPr>
            </w:pPr>
            <w:r>
              <w:rPr>
                <w:b/>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b/>
              </w:rPr>
            </w:pPr>
            <w:r>
              <w:rPr>
                <w:b/>
              </w:rPr>
              <w:t>(528</w:t>
            </w:r>
          </w:p>
        </w:tc>
        <w:tc>
          <w:tcPr>
            <w:tcW w:w="100" w:type="dxa"/>
            <w:tcBorders/>
            <w:shd w:fill="CCEEFF" w:val="clear"/>
            <w:vAlign w:val="center"/>
          </w:tcPr>
          <w:p>
            <w:pPr>
              <w:pStyle w:val="TableContents"/>
              <w:bidi w:val="0"/>
              <w:spacing w:before="0" w:after="283"/>
              <w:jc w:val="left"/>
              <w:rPr>
                <w:b/>
              </w:rPr>
            </w:pPr>
            <w:r>
              <w:rPr>
                <w:b/>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(1,846</w:t>
            </w:r>
          </w:p>
        </w:tc>
        <w:tc>
          <w:tcPr>
            <w:tcW w:w="100" w:type="dxa"/>
            <w:tcBorders/>
            <w:shd w:fill="CCEEFF" w:val="clear"/>
            <w:vAlign w:val="center"/>
          </w:tcPr>
          <w:p>
            <w:pPr>
              <w:pStyle w:val="TableContents"/>
              <w:bidi w:val="0"/>
              <w:spacing w:before="0" w:after="283"/>
              <w:ind w:left="0" w:right="0" w:hanging="180"/>
              <w:jc w:val="left"/>
              <w:rPr>
                <w:b/>
              </w:rPr>
            </w:pPr>
            <w:r>
              <w:rPr>
                <w:b/>
              </w:rPr>
              <w:t>)</w:t>
            </w:r>
          </w:p>
        </w:tc>
      </w:tr>
      <w:tr>
        <w:trPr/>
        <w:tc>
          <w:tcPr>
            <w:tcW w:w="79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939" w:type="dxa"/>
            <w:tcBorders/>
            <w:shd w:fill="CCEEFF" w:val="clear"/>
            <w:vAlign w:val="center"/>
          </w:tcPr>
          <w:p>
            <w:pPr>
              <w:pStyle w:val="TableContents"/>
              <w:bidi w:val="0"/>
              <w:spacing w:before="0" w:after="283"/>
              <w:jc w:val="left"/>
              <w:rPr/>
            </w:pPr>
            <w:r>
              <w:rPr/>
              <w:t>Effects of foreign exchange rates on cash and cash equivalents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(497</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(51</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7939" w:type="dxa"/>
            <w:tcBorders/>
            <w:shd w:fill="FFFFFF" w:val="clear"/>
            <w:vAlign w:val="center"/>
          </w:tcPr>
          <w:p>
            <w:pPr>
              <w:pStyle w:val="TableContents"/>
              <w:bidi w:val="0"/>
              <w:spacing w:before="0" w:after="283"/>
              <w:jc w:val="left"/>
              <w:rPr/>
            </w:pPr>
            <w:r>
              <w:rPr/>
              <w:t>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256,301</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(15,951</w:t>
            </w:r>
          </w:p>
        </w:tc>
        <w:tc>
          <w:tcPr>
            <w:tcW w:w="100" w:type="dxa"/>
            <w:tcBorders/>
            <w:shd w:fill="FFFFFF" w:val="clear"/>
            <w:vAlign w:val="center"/>
          </w:tcPr>
          <w:p>
            <w:pPr>
              <w:pStyle w:val="TableContents"/>
              <w:bidi w:val="0"/>
              <w:spacing w:before="0" w:after="283"/>
              <w:ind w:left="0" w:right="0" w:hanging="180"/>
              <w:jc w:val="left"/>
              <w:rPr/>
            </w:pPr>
            <w:r>
              <w:rPr/>
              <w:t>)</w:t>
            </w:r>
          </w:p>
        </w:tc>
      </w:tr>
      <w:tr>
        <w:trPr/>
        <w:tc>
          <w:tcPr>
            <w:tcW w:w="7939" w:type="dxa"/>
            <w:tcBorders/>
            <w:shd w:fill="CCEEFF" w:val="clear"/>
            <w:vAlign w:val="center"/>
          </w:tcPr>
          <w:p>
            <w:pPr>
              <w:pStyle w:val="TableContents"/>
              <w:bidi w:val="0"/>
              <w:spacing w:before="0" w:after="283"/>
              <w:jc w:val="left"/>
              <w:rPr/>
            </w:pPr>
            <w:r>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pPr>
            <w:r>
              <w:rPr/>
              <w:t>16,164</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77,619</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939" w:type="dxa"/>
            <w:tcBorders/>
            <w:shd w:fill="FFFFFF" w:val="clear"/>
            <w:vAlign w:val="center"/>
          </w:tcPr>
          <w:p>
            <w:pPr>
              <w:pStyle w:val="TableContents"/>
              <w:bidi w:val="0"/>
              <w:spacing w:before="0" w:after="283"/>
              <w:jc w:val="left"/>
              <w:rPr/>
            </w:pPr>
            <w:r>
              <w:rPr/>
              <w:t>Cash and cash equivalents, end of period</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4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272,465</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61,668</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9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7939" w:type="dxa"/>
            <w:tcBorders/>
            <w:shd w:fill="FFFFFF" w:val="clear"/>
            <w:vAlign w:val="center"/>
          </w:tcPr>
          <w:p>
            <w:pPr>
              <w:pStyle w:val="TableContents"/>
              <w:bidi w:val="0"/>
              <w:spacing w:before="0" w:after="283"/>
              <w:jc w:val="left"/>
              <w:rPr>
                <w:b/>
              </w:rPr>
            </w:pPr>
            <w:r>
              <w:rPr>
                <w:b/>
              </w:rPr>
              <w:t>Supplemental disclosure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7939" w:type="dxa"/>
            <w:tcBorders/>
            <w:shd w:fill="CCEEFF" w:val="clear"/>
            <w:vAlign w:val="center"/>
          </w:tcPr>
          <w:p>
            <w:pPr>
              <w:pStyle w:val="TableContents"/>
              <w:bidi w:val="0"/>
              <w:spacing w:before="0" w:after="283"/>
              <w:jc w:val="left"/>
              <w:rPr/>
            </w:pPr>
            <w:r>
              <w:rPr/>
              <w:t>Capitalized stock-based compensation</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847" w:type="dxa"/>
            <w:tcBorders/>
            <w:shd w:fill="CCEEFF" w:val="clear"/>
            <w:vAlign w:val="center"/>
          </w:tcPr>
          <w:p>
            <w:pPr>
              <w:pStyle w:val="TableContents"/>
              <w:bidi w:val="0"/>
              <w:spacing w:before="0" w:after="283"/>
              <w:jc w:val="right"/>
              <w:rPr/>
            </w:pPr>
            <w:r>
              <w:rPr/>
              <w:t>31</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53</w:t>
            </w:r>
          </w:p>
        </w:tc>
        <w:tc>
          <w:tcPr>
            <w:tcW w:w="100" w:type="dxa"/>
            <w:tcBorders/>
            <w:shd w:fill="CCEEFF" w:val="clear"/>
            <w:vAlign w:val="center"/>
          </w:tcPr>
          <w:p>
            <w:pPr>
              <w:pStyle w:val="TableContents"/>
              <w:bidi w:val="0"/>
              <w:spacing w:before="0" w:after="283"/>
              <w:jc w:val="left"/>
              <w:rPr/>
            </w:pPr>
            <w:r>
              <w:rPr/>
              <w:t> </w:t>
            </w:r>
          </w:p>
        </w:tc>
      </w:tr>
      <w:tr>
        <w:trPr/>
        <w:tc>
          <w:tcPr>
            <w:tcW w:w="7939" w:type="dxa"/>
            <w:tcBorders/>
            <w:shd w:fill="FFFFFF" w:val="clear"/>
            <w:vAlign w:val="center"/>
          </w:tcPr>
          <w:p>
            <w:pPr>
              <w:pStyle w:val="TableContents"/>
              <w:bidi w:val="0"/>
              <w:spacing w:before="0" w:after="283"/>
              <w:jc w:val="left"/>
              <w:rPr/>
            </w:pPr>
            <w:r>
              <w:rPr/>
              <w:t>Purchases of property and equipment included in accounts payable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36</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1,042</w:t>
            </w:r>
          </w:p>
        </w:tc>
        <w:tc>
          <w:tcPr>
            <w:tcW w:w="100" w:type="dxa"/>
            <w:tcBorders/>
            <w:shd w:fill="FFFFFF" w:val="clear"/>
            <w:vAlign w:val="center"/>
          </w:tcPr>
          <w:p>
            <w:pPr>
              <w:pStyle w:val="TableContents"/>
              <w:bidi w:val="0"/>
              <w:spacing w:before="0" w:after="283"/>
              <w:jc w:val="left"/>
              <w:rPr/>
            </w:pPr>
            <w:r>
              <w:rPr/>
              <w:t> </w:t>
            </w:r>
          </w:p>
        </w:tc>
      </w:tr>
      <w:tr>
        <w:trPr/>
        <w:tc>
          <w:tcPr>
            <w:tcW w:w="7939" w:type="dxa"/>
            <w:tcBorders/>
            <w:shd w:fill="CCEEFF" w:val="clear"/>
            <w:vAlign w:val="center"/>
          </w:tcPr>
          <w:p>
            <w:pPr>
              <w:pStyle w:val="TableContents"/>
              <w:bidi w:val="0"/>
              <w:spacing w:before="0" w:after="283"/>
              <w:jc w:val="left"/>
              <w:rPr/>
            </w:pPr>
            <w:r>
              <w:rPr/>
              <w:t>Conversion of Old Xanadu convertible preferred shares to Class A Multiple Voting Shares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213,003</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jc w:val="left"/>
              <w:rPr/>
            </w:pPr>
            <w:r>
              <w:rPr/>
              <w:t> </w:t>
            </w:r>
          </w:p>
        </w:tc>
      </w:tr>
      <w:tr>
        <w:trPr/>
        <w:tc>
          <w:tcPr>
            <w:tcW w:w="7939" w:type="dxa"/>
            <w:tcBorders/>
            <w:shd w:fill="FFFFFF" w:val="clear"/>
            <w:vAlign w:val="center"/>
          </w:tcPr>
          <w:p>
            <w:pPr>
              <w:pStyle w:val="TableContents"/>
              <w:bidi w:val="0"/>
              <w:spacing w:before="0" w:after="283"/>
              <w:jc w:val="left"/>
              <w:rPr/>
            </w:pPr>
            <w:r>
              <w:rPr/>
              <w:t>Reclassification of warrant liabilities to additional paid-in capital</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2,769</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r>
      <w:tr>
        <w:trPr/>
        <w:tc>
          <w:tcPr>
            <w:tcW w:w="7939" w:type="dxa"/>
            <w:tcBorders/>
            <w:shd w:fill="CCEEFF" w:val="clear"/>
            <w:vAlign w:val="center"/>
          </w:tcPr>
          <w:p>
            <w:pPr>
              <w:pStyle w:val="TableContents"/>
              <w:bidi w:val="0"/>
              <w:spacing w:before="0" w:after="283"/>
              <w:jc w:val="left"/>
              <w:rPr/>
            </w:pPr>
            <w:r>
              <w:rPr/>
              <w:t>Reclassification of additional paid-in capital to share capital upon cashless exercise of warrants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1,397</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jc w:val="left"/>
              <w:rPr/>
            </w:pPr>
            <w:r>
              <w:rPr/>
              <w:t> </w:t>
            </w:r>
          </w:p>
        </w:tc>
      </w:tr>
      <w:tr>
        <w:trPr/>
        <w:tc>
          <w:tcPr>
            <w:tcW w:w="7939" w:type="dxa"/>
            <w:tcBorders/>
            <w:shd w:fill="FFFFFF" w:val="clear"/>
            <w:vAlign w:val="center"/>
          </w:tcPr>
          <w:p>
            <w:pPr>
              <w:pStyle w:val="TableContents"/>
              <w:bidi w:val="0"/>
              <w:spacing w:before="0" w:after="283"/>
              <w:jc w:val="left"/>
              <w:rPr/>
            </w:pPr>
            <w:r>
              <w:rPr/>
              <w:t>Recognition of earn-out share liability at closing of Reverse Recapitalization</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9,997</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6" w:name="k_010"/>
      <w:bookmarkEnd w:id="46"/>
      <w:r>
        <w:rPr>
          <w:rFonts w:ascii="Times New Roman;Times;Serif" w:hAnsi="Times New Roman;Times;Serif"/>
          <w:b/>
          <w:i w:val="false"/>
          <w:caps w:val="false"/>
          <w:smallCaps w:val="false"/>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Shareholders’ Equity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jc w:val="center"/>
        <w:rPr>
          <w:caps w:val="false"/>
          <w:smallCaps w:val="false"/>
        </w:rPr>
      </w:pPr>
      <w:r>
        <w:rPr>
          <w:caps w:val="false"/>
          <w:smallCaps w:val="false"/>
        </w:rPr>
        <w:t> </w:t>
      </w:r>
    </w:p>
    <w:tbl>
      <w:tblPr>
        <w:tblW w:w="11785" w:type="dxa"/>
        <w:jc w:val="left"/>
        <w:tblInd w:w="0" w:type="dxa"/>
        <w:tblLayout w:type="fixed"/>
        <w:tblCellMar>
          <w:top w:w="0" w:type="dxa"/>
          <w:left w:w="0" w:type="dxa"/>
          <w:bottom w:w="0" w:type="dxa"/>
          <w:right w:w="0" w:type="dxa"/>
        </w:tblCellMar>
      </w:tblPr>
      <w:tblGrid>
        <w:gridCol w:w="1130"/>
        <w:gridCol w:w="60"/>
        <w:gridCol w:w="60"/>
        <w:gridCol w:w="980"/>
        <w:gridCol w:w="80"/>
        <w:gridCol w:w="60"/>
        <w:gridCol w:w="110"/>
        <w:gridCol w:w="665"/>
        <w:gridCol w:w="80"/>
        <w:gridCol w:w="60"/>
        <w:gridCol w:w="60"/>
        <w:gridCol w:w="890"/>
        <w:gridCol w:w="80"/>
        <w:gridCol w:w="60"/>
        <w:gridCol w:w="111"/>
        <w:gridCol w:w="494"/>
        <w:gridCol w:w="80"/>
        <w:gridCol w:w="60"/>
        <w:gridCol w:w="60"/>
        <w:gridCol w:w="920"/>
        <w:gridCol w:w="60"/>
        <w:gridCol w:w="60"/>
        <w:gridCol w:w="110"/>
        <w:gridCol w:w="605"/>
        <w:gridCol w:w="80"/>
        <w:gridCol w:w="60"/>
        <w:gridCol w:w="110"/>
        <w:gridCol w:w="605"/>
        <w:gridCol w:w="80"/>
        <w:gridCol w:w="60"/>
        <w:gridCol w:w="138"/>
        <w:gridCol w:w="647"/>
        <w:gridCol w:w="80"/>
        <w:gridCol w:w="60"/>
        <w:gridCol w:w="110"/>
        <w:gridCol w:w="665"/>
        <w:gridCol w:w="80"/>
        <w:gridCol w:w="60"/>
        <w:gridCol w:w="259"/>
        <w:gridCol w:w="826"/>
        <w:gridCol w:w="80"/>
        <w:gridCol w:w="60"/>
        <w:gridCol w:w="110"/>
        <w:gridCol w:w="605"/>
        <w:gridCol w:w="75"/>
      </w:tblGrid>
      <w:tr>
        <w:trPr/>
        <w:tc>
          <w:tcPr>
            <w:tcW w:w="113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95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Old Xanadu</w:t>
              <w:br/>
              <w:t xml:space="preserve">Convertible </w:t>
              <w:br/>
              <w:t>Preferred 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Old Xanadu</w:t>
              <w:br/>
              <w:t>Common 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Common Shares</w:t>
              <w:br/>
              <w:t>(Class A &amp; 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 xml:space="preserve">Total </w:t>
              <w:br/>
              <w:t>share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 xml:space="preserve">Additional </w:t>
              <w:b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Accumulated other 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Number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Number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income (loss)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w:t>
            </w:r>
          </w:p>
        </w:tc>
        <w:tc>
          <w:tcPr>
            <w:tcW w:w="75" w:type="dxa"/>
            <w:tcBorders/>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17,718,491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213,002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4,959,800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9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7,585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220,587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4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10,151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(206,303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24,444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Retroactive application of recapitalization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182,211,578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51,005,076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94"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4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 xml:space="preserve">Balance as of December 31, 2025 as adjusted </w:t>
            </w:r>
            <w:r>
              <w:rPr>
                <w:rFonts w:ascii="Times New Roman;Times;Serif" w:hAnsi="Times New Roman;Times;Serif"/>
                <w:position w:val="5"/>
                <w:sz w:val="13"/>
                <w:sz w:val="16"/>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199,930,069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213,002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55,964,876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7,585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220,587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10,151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(206,303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24,444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 xml:space="preserve">Issuance of common stock upon exchange of Old Xanadu’s preferred and common stock </w:t>
            </w:r>
            <w:r>
              <w:rPr>
                <w:rFonts w:ascii="Times New Roman;Times;Serif" w:hAnsi="Times New Roman;Times;Serif"/>
                <w:position w:val="5"/>
                <w:sz w:val="13"/>
                <w:sz w:val="16"/>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(199,930,069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(213,002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(55,964,876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(7,585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255,894,945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220,587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Loss for the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(20,604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(20,604</w:t>
            </w:r>
          </w:p>
        </w:tc>
        <w:tc>
          <w:tcPr>
            <w:tcW w:w="75" w:type="dxa"/>
            <w:tcBorders/>
            <w:shd w:fill="CCEE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1,439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1,789,955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(647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534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 xml:space="preserve">Reverse Recapitalization and PIPE transaction, net of transaction costs </w:t>
            </w:r>
            <w:r>
              <w:rPr>
                <w:rFonts w:ascii="Times New Roman;Times;Serif" w:hAnsi="Times New Roman;Times;Serif"/>
                <w:position w:val="5"/>
                <w:sz w:val="13"/>
                <w:sz w:val="16"/>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40,308,937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265,006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265,006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(1,407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263,599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Earn-out share liability at Closing</w:t>
              <w:br/>
              <w:t>of Reverse Recapitalization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(9,997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(9,997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(9,997</w:t>
            </w:r>
          </w:p>
        </w:tc>
        <w:tc>
          <w:tcPr>
            <w:tcW w:w="75" w:type="dxa"/>
            <w:tcBorders/>
            <w:shd w:fill="CCEE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Conversion of Warrant Liabilities to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2,769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Exercise of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517,527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(1,397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Cumulative translation adjustment, net of tax</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(207</w:t>
            </w:r>
          </w:p>
        </w:tc>
        <w:tc>
          <w:tcPr>
            <w:tcW w:w="75" w:type="dxa"/>
            <w:tcBorders/>
            <w:shd w:fill="CCEE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6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94"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298,511,364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478,174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478,174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4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12,325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6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(228,314</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259"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2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(208</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261,977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9993" w:type="dxa"/>
        <w:jc w:val="left"/>
        <w:tblInd w:w="0" w:type="dxa"/>
        <w:tblLayout w:type="fixed"/>
        <w:tblCellMar>
          <w:top w:w="0" w:type="dxa"/>
          <w:left w:w="0" w:type="dxa"/>
          <w:bottom w:w="0" w:type="dxa"/>
          <w:right w:w="0" w:type="dxa"/>
        </w:tblCellMar>
      </w:tblPr>
      <w:tblGrid>
        <w:gridCol w:w="38"/>
        <w:gridCol w:w="245"/>
        <w:gridCol w:w="971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osition w:val="8"/>
                <w:sz w:val="19"/>
              </w:rPr>
            </w:pPr>
            <w:r>
              <w:rPr>
                <w:position w:val="8"/>
                <w:sz w:val="19"/>
              </w:rPr>
              <w:t>(1)</w:t>
            </w:r>
          </w:p>
        </w:tc>
        <w:tc>
          <w:tcPr>
            <w:tcW w:w="9710" w:type="dxa"/>
            <w:tcBorders/>
            <w:vAlign w:val="center"/>
          </w:tcPr>
          <w:p>
            <w:pPr>
              <w:pStyle w:val="TableContents"/>
              <w:bidi w:val="0"/>
              <w:spacing w:before="0" w:after="283"/>
              <w:jc w:val="both"/>
              <w:rPr/>
            </w:pPr>
            <w:r>
              <w:rPr/>
              <w:t>The number of shares have been retroactively recast after giving effect to the Reverse Recapitalization.</w:t>
            </w:r>
          </w:p>
        </w:tc>
      </w:tr>
    </w:tbl>
    <w:p>
      <w:pPr>
        <w:pStyle w:val="TextBody"/>
        <w:bidi w:val="0"/>
        <w:spacing w:before="0" w:after="0"/>
        <w:ind w:left="0" w:right="0" w:hanging="0"/>
        <w:jc w:val="left"/>
        <w:rPr>
          <w:caps w:val="false"/>
          <w:smallCaps w:val="false"/>
        </w:rPr>
      </w:pPr>
      <w:r>
        <w:rPr>
          <w:caps w:val="false"/>
          <w:smallCaps w:val="false"/>
        </w:rPr>
        <w:t> </w:t>
      </w:r>
    </w:p>
    <w:tbl>
      <w:tblPr>
        <w:tblW w:w="8688" w:type="dxa"/>
        <w:jc w:val="left"/>
        <w:tblInd w:w="0" w:type="dxa"/>
        <w:tblLayout w:type="fixed"/>
        <w:tblCellMar>
          <w:top w:w="0" w:type="dxa"/>
          <w:left w:w="0" w:type="dxa"/>
          <w:bottom w:w="0" w:type="dxa"/>
          <w:right w:w="0" w:type="dxa"/>
        </w:tblCellMar>
      </w:tblPr>
      <w:tblGrid>
        <w:gridCol w:w="38"/>
        <w:gridCol w:w="245"/>
        <w:gridCol w:w="84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osition w:val="8"/>
                <w:sz w:val="19"/>
              </w:rPr>
            </w:pPr>
            <w:r>
              <w:rPr>
                <w:position w:val="8"/>
                <w:sz w:val="19"/>
              </w:rPr>
              <w:t>(2)</w:t>
            </w:r>
          </w:p>
        </w:tc>
        <w:tc>
          <w:tcPr>
            <w:tcW w:w="8405" w:type="dxa"/>
            <w:tcBorders/>
            <w:vAlign w:val="center"/>
          </w:tcPr>
          <w:p>
            <w:pPr>
              <w:pStyle w:val="TableContents"/>
              <w:bidi w:val="0"/>
              <w:spacing w:before="0" w:after="283"/>
              <w:jc w:val="both"/>
              <w:rPr/>
            </w:pPr>
            <w:r>
              <w:rPr/>
              <w:t>Refer to Note 3 for additional information on the preferred and common stock exchange.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osition w:val="8"/>
                <w:sz w:val="19"/>
              </w:rPr>
            </w:pPr>
            <w:r>
              <w:rPr>
                <w:position w:val="8"/>
                <w:sz w:val="19"/>
              </w:rPr>
              <w:t>(3)</w:t>
            </w:r>
          </w:p>
        </w:tc>
        <w:tc>
          <w:tcPr>
            <w:tcW w:w="9962" w:type="dxa"/>
            <w:tcBorders/>
            <w:vAlign w:val="center"/>
          </w:tcPr>
          <w:p>
            <w:pPr>
              <w:pStyle w:val="TableContents"/>
              <w:bidi w:val="0"/>
              <w:spacing w:before="0" w:after="283"/>
              <w:jc w:val="both"/>
              <w:rPr/>
            </w:pPr>
            <w:r>
              <w:rPr/>
              <w:t>Common shares includes 1,100,000 earn-out shares (the “Earn-out Shares”) issued and outstanding, but subject to forfeiture. These earn-out shares were classified within liabilities on the consolidated balance sheets as of March 31, 2026. Refer to Note 3 for additional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Shareholders’ Equity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10925" w:type="dxa"/>
        <w:jc w:val="left"/>
        <w:tblInd w:w="0" w:type="dxa"/>
        <w:tblLayout w:type="fixed"/>
        <w:tblCellMar>
          <w:top w:w="0" w:type="dxa"/>
          <w:left w:w="0" w:type="dxa"/>
          <w:bottom w:w="0" w:type="dxa"/>
          <w:right w:w="0" w:type="dxa"/>
        </w:tblCellMar>
      </w:tblPr>
      <w:tblGrid>
        <w:gridCol w:w="1085"/>
        <w:gridCol w:w="60"/>
        <w:gridCol w:w="60"/>
        <w:gridCol w:w="920"/>
        <w:gridCol w:w="60"/>
        <w:gridCol w:w="60"/>
        <w:gridCol w:w="110"/>
        <w:gridCol w:w="605"/>
        <w:gridCol w:w="60"/>
        <w:gridCol w:w="60"/>
        <w:gridCol w:w="60"/>
        <w:gridCol w:w="830"/>
        <w:gridCol w:w="60"/>
        <w:gridCol w:w="60"/>
        <w:gridCol w:w="124"/>
        <w:gridCol w:w="481"/>
        <w:gridCol w:w="60"/>
        <w:gridCol w:w="60"/>
        <w:gridCol w:w="113"/>
        <w:gridCol w:w="492"/>
        <w:gridCol w:w="60"/>
        <w:gridCol w:w="60"/>
        <w:gridCol w:w="179"/>
        <w:gridCol w:w="426"/>
        <w:gridCol w:w="60"/>
        <w:gridCol w:w="60"/>
        <w:gridCol w:w="110"/>
        <w:gridCol w:w="605"/>
        <w:gridCol w:w="60"/>
        <w:gridCol w:w="60"/>
        <w:gridCol w:w="161"/>
        <w:gridCol w:w="624"/>
        <w:gridCol w:w="80"/>
        <w:gridCol w:w="60"/>
        <w:gridCol w:w="110"/>
        <w:gridCol w:w="665"/>
        <w:gridCol w:w="80"/>
        <w:gridCol w:w="60"/>
        <w:gridCol w:w="200"/>
        <w:gridCol w:w="885"/>
        <w:gridCol w:w="80"/>
        <w:gridCol w:w="60"/>
        <w:gridCol w:w="110"/>
        <w:gridCol w:w="575"/>
        <w:gridCol w:w="75"/>
      </w:tblGrid>
      <w:tr>
        <w:trPr/>
        <w:tc>
          <w:tcPr>
            <w:tcW w:w="108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815"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Old Xanadu</w:t>
              <w:br/>
              <w:t xml:space="preserve">Convertible </w:t>
              <w:br/>
              <w:t>Preferred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5"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Old Xanadu</w:t>
              <w:br/>
              <w:t>Common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Common Shares</w:t>
              <w:br/>
              <w:t>(Class A &amp;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center"/>
              <w:rPr>
                <w:b/>
                <w:sz w:val="16"/>
              </w:rPr>
            </w:pPr>
            <w:r>
              <w:rPr>
                <w:b/>
                <w:sz w:val="16"/>
              </w:rPr>
              <w:t xml:space="preserve">Total </w:t>
              <w:b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b/>
                <w:sz w:val="16"/>
              </w:rPr>
            </w:pPr>
            <w:r>
              <w:rPr>
                <w:b/>
                <w:sz w:val="16"/>
              </w:rPr>
              <w:t xml:space="preserve">Additional </w:t>
              <w:b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b/>
                <w:sz w:val="16"/>
              </w:rPr>
            </w:pPr>
            <w:r>
              <w:rPr>
                <w:b/>
                <w:sz w:val="16"/>
              </w:rPr>
              <w:t>Accumulated other 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1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income (loss)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Total</w:t>
            </w:r>
          </w:p>
        </w:tc>
        <w:tc>
          <w:tcPr>
            <w:tcW w:w="75" w:type="dxa"/>
            <w:tcBorders/>
            <w:vAlign w:val="center"/>
          </w:tcPr>
          <w:p>
            <w:pPr>
              <w:pStyle w:val="TableContents"/>
              <w:bidi w:val="0"/>
              <w:spacing w:before="0" w:after="283"/>
              <w:ind w:left="0" w:right="0" w:hanging="180"/>
              <w:jc w:val="left"/>
              <w:rPr/>
            </w:pPr>
            <w:r>
              <w:rPr/>
              <w:t> </w:t>
            </w:r>
          </w:p>
        </w:tc>
      </w:tr>
      <w:tr>
        <w:trPr/>
        <w:tc>
          <w:tcPr>
            <w:tcW w:w="1085" w:type="dxa"/>
            <w:tcBorders/>
            <w:shd w:fill="CCEEFF" w:val="clear"/>
            <w:vAlign w:val="center"/>
          </w:tcPr>
          <w:p>
            <w:pPr>
              <w:pStyle w:val="TableContents"/>
              <w:bidi w:val="0"/>
              <w:spacing w:before="0" w:after="283"/>
              <w:jc w:val="left"/>
              <w:rPr>
                <w:b/>
                <w:sz w:val="16"/>
              </w:rPr>
            </w:pPr>
            <w:r>
              <w:rPr>
                <w:b/>
                <w:sz w:val="16"/>
              </w:rPr>
              <w:t>Balance, December 31, 2024 as previously reported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sz w:val="16"/>
              </w:rPr>
            </w:pPr>
            <w:r>
              <w:rPr>
                <w:sz w:val="16"/>
              </w:rPr>
              <w:t>17,718,491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605" w:type="dxa"/>
            <w:tcBorders/>
            <w:shd w:fill="CCEEFF" w:val="clear"/>
            <w:vAlign w:val="center"/>
          </w:tcPr>
          <w:p>
            <w:pPr>
              <w:pStyle w:val="TableContents"/>
              <w:bidi w:val="0"/>
              <w:spacing w:before="0" w:after="283"/>
              <w:jc w:val="right"/>
              <w:rPr>
                <w:sz w:val="16"/>
              </w:rPr>
            </w:pPr>
            <w:r>
              <w:rPr>
                <w:sz w:val="16"/>
              </w:rPr>
              <w:t>213,002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4,924,563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sz w:val="16"/>
              </w:rPr>
            </w:pPr>
            <w:r>
              <w:rPr>
                <w:sz w:val="16"/>
              </w:rPr>
              <w:t>$</w:t>
            </w:r>
          </w:p>
        </w:tc>
        <w:tc>
          <w:tcPr>
            <w:tcW w:w="481" w:type="dxa"/>
            <w:tcBorders/>
            <w:shd w:fill="CCEEFF" w:val="clear"/>
            <w:vAlign w:val="center"/>
          </w:tcPr>
          <w:p>
            <w:pPr>
              <w:pStyle w:val="TableContents"/>
              <w:bidi w:val="0"/>
              <w:spacing w:before="0" w:after="283"/>
              <w:jc w:val="right"/>
              <w:rPr>
                <w:sz w:val="16"/>
              </w:rPr>
            </w:pPr>
            <w:r>
              <w:rPr>
                <w:sz w:val="16"/>
              </w:rPr>
              <w:t>7,399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sz w:val="16"/>
              </w:rPr>
            </w:pPr>
            <w:r>
              <w:rPr>
                <w:sz w:val="16"/>
              </w:rPr>
              <w:t>$</w:t>
            </w:r>
          </w:p>
        </w:tc>
        <w:tc>
          <w:tcPr>
            <w:tcW w:w="42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605" w:type="dxa"/>
            <w:tcBorders/>
            <w:shd w:fill="CCEEFF" w:val="clear"/>
            <w:vAlign w:val="center"/>
          </w:tcPr>
          <w:p>
            <w:pPr>
              <w:pStyle w:val="TableContents"/>
              <w:bidi w:val="0"/>
              <w:spacing w:before="0" w:after="283"/>
              <w:jc w:val="right"/>
              <w:rPr>
                <w:sz w:val="16"/>
              </w:rPr>
            </w:pPr>
            <w:r>
              <w:rPr>
                <w:sz w:val="16"/>
              </w:rPr>
              <w:t>220,401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sz w:val="16"/>
              </w:rPr>
            </w:pPr>
            <w:r>
              <w:rPr>
                <w:sz w:val="16"/>
              </w:rPr>
              <w:t>$</w:t>
            </w:r>
          </w:p>
        </w:tc>
        <w:tc>
          <w:tcPr>
            <w:tcW w:w="624" w:type="dxa"/>
            <w:tcBorders/>
            <w:shd w:fill="CCEEFF" w:val="clear"/>
            <w:vAlign w:val="center"/>
          </w:tcPr>
          <w:p>
            <w:pPr>
              <w:pStyle w:val="TableContents"/>
              <w:bidi w:val="0"/>
              <w:spacing w:before="0" w:after="283"/>
              <w:jc w:val="right"/>
              <w:rPr>
                <w:sz w:val="16"/>
              </w:rPr>
            </w:pPr>
            <w:r>
              <w:rPr>
                <w:sz w:val="16"/>
              </w:rPr>
              <w:t>5,937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665" w:type="dxa"/>
            <w:tcBorders/>
            <w:shd w:fill="CCEEFF" w:val="clear"/>
            <w:vAlign w:val="center"/>
          </w:tcPr>
          <w:p>
            <w:pPr>
              <w:pStyle w:val="TableContents"/>
              <w:bidi w:val="0"/>
              <w:spacing w:before="0" w:after="283"/>
              <w:jc w:val="right"/>
              <w:rPr>
                <w:sz w:val="16"/>
              </w:rPr>
            </w:pPr>
            <w:r>
              <w:rPr>
                <w:sz w:val="16"/>
              </w:rPr>
              <w:t>(135,636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sz w:val="16"/>
              </w:rPr>
            </w:pPr>
            <w:r>
              <w:rPr>
                <w:sz w:val="16"/>
              </w:rPr>
              <w:t>$</w:t>
            </w:r>
          </w:p>
        </w:tc>
        <w:tc>
          <w:tcPr>
            <w:tcW w:w="885" w:type="dxa"/>
            <w:tcBorders/>
            <w:shd w:fill="CCEEFF" w:val="clear"/>
            <w:vAlign w:val="center"/>
          </w:tcPr>
          <w:p>
            <w:pPr>
              <w:pStyle w:val="TableContents"/>
              <w:bidi w:val="0"/>
              <w:spacing w:before="0" w:after="283"/>
              <w:jc w:val="right"/>
              <w:rPr>
                <w:sz w:val="16"/>
              </w:rPr>
            </w:pPr>
            <w:r>
              <w:rPr>
                <w:sz w:val="16"/>
              </w:rPr>
              <w:t>(3,207</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575" w:type="dxa"/>
            <w:tcBorders/>
            <w:shd w:fill="CCEEFF" w:val="clear"/>
            <w:vAlign w:val="center"/>
          </w:tcPr>
          <w:p>
            <w:pPr>
              <w:pStyle w:val="TableContents"/>
              <w:bidi w:val="0"/>
              <w:spacing w:before="0" w:after="283"/>
              <w:jc w:val="right"/>
              <w:rPr>
                <w:sz w:val="16"/>
              </w:rPr>
            </w:pPr>
            <w:r>
              <w:rPr>
                <w:sz w:val="16"/>
              </w:rPr>
              <w:t>87,495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85" w:type="dxa"/>
            <w:tcBorders/>
            <w:shd w:fill="FFFFFF" w:val="clear"/>
            <w:vAlign w:val="center"/>
          </w:tcPr>
          <w:p>
            <w:pPr>
              <w:pStyle w:val="TableContents"/>
              <w:bidi w:val="0"/>
              <w:spacing w:before="0" w:after="283"/>
              <w:jc w:val="left"/>
              <w:rPr>
                <w:sz w:val="16"/>
              </w:rPr>
            </w:pPr>
            <w:r>
              <w:rPr>
                <w:sz w:val="16"/>
              </w:rPr>
              <w:t>Retroactive application of recapitalization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182,211,578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50,642,709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8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9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2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5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085" w:type="dxa"/>
            <w:tcBorders/>
            <w:shd w:fill="CCEEFF" w:val="clear"/>
            <w:vAlign w:val="center"/>
          </w:tcPr>
          <w:p>
            <w:pPr>
              <w:pStyle w:val="TableContents"/>
              <w:bidi w:val="0"/>
              <w:spacing w:before="0" w:after="283"/>
              <w:jc w:val="left"/>
              <w:rPr>
                <w:sz w:val="16"/>
              </w:rPr>
            </w:pPr>
            <w:r>
              <w:rPr>
                <w:sz w:val="16"/>
              </w:rPr>
              <w:t xml:space="preserve">Balance as of December 31, 2024 as adjusted </w:t>
            </w:r>
            <w:r>
              <w:rPr>
                <w:position w:val="5"/>
                <w:sz w:val="13"/>
                <w:sz w:val="16"/>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sz w:val="16"/>
              </w:rPr>
            </w:pPr>
            <w:r>
              <w:rPr>
                <w:sz w:val="16"/>
              </w:rPr>
              <w:t>199,930,069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213,002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55,567,272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sz w:val="16"/>
              </w:rPr>
            </w:pPr>
            <w:r>
              <w:rPr>
                <w:sz w:val="16"/>
              </w:rPr>
              <w:t>7,399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220,401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sz w:val="16"/>
              </w:rPr>
            </w:pPr>
            <w:r>
              <w:rPr>
                <w:sz w:val="16"/>
              </w:rPr>
              <w:t>5,937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(135,636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sz w:val="16"/>
              </w:rPr>
            </w:pPr>
            <w:r>
              <w:rPr>
                <w:sz w:val="16"/>
              </w:rPr>
              <w:t>(3,207</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sz w:val="16"/>
              </w:rPr>
            </w:pPr>
            <w:r>
              <w:rPr>
                <w:sz w:val="16"/>
              </w:rPr>
              <w:t>87,495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85" w:type="dxa"/>
            <w:tcBorders/>
            <w:shd w:fill="FFFFFF" w:val="clear"/>
            <w:vAlign w:val="center"/>
          </w:tcPr>
          <w:p>
            <w:pPr>
              <w:pStyle w:val="TableContents"/>
              <w:bidi w:val="0"/>
              <w:spacing w:before="0" w:after="283"/>
              <w:jc w:val="left"/>
              <w:rPr>
                <w:sz w:val="16"/>
              </w:rPr>
            </w:pPr>
            <w:r>
              <w:rPr>
                <w:sz w:val="16"/>
              </w:rPr>
              <w:t>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(12,205</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sz w:val="16"/>
              </w:rPr>
            </w:pPr>
            <w:r>
              <w:rPr>
                <w:sz w:val="16"/>
              </w:rPr>
              <w:t>(12,205</w:t>
            </w:r>
          </w:p>
        </w:tc>
        <w:tc>
          <w:tcPr>
            <w:tcW w:w="75" w:type="dxa"/>
            <w:tcBorders/>
            <w:shd w:fill="FFFFFF" w:val="clear"/>
            <w:vAlign w:val="center"/>
          </w:tcPr>
          <w:p>
            <w:pPr>
              <w:pStyle w:val="TableContents"/>
              <w:bidi w:val="0"/>
              <w:spacing w:before="0" w:after="283"/>
              <w:ind w:left="0" w:right="0" w:hanging="180"/>
              <w:jc w:val="left"/>
              <w:rPr>
                <w:sz w:val="16"/>
              </w:rPr>
            </w:pPr>
            <w:r>
              <w:rPr>
                <w:sz w:val="16"/>
              </w:rPr>
              <w:t>)</w:t>
            </w:r>
          </w:p>
        </w:tc>
      </w:tr>
      <w:tr>
        <w:trPr/>
        <w:tc>
          <w:tcPr>
            <w:tcW w:w="1085" w:type="dxa"/>
            <w:tcBorders/>
            <w:shd w:fill="CCEEFF" w:val="clear"/>
            <w:vAlign w:val="center"/>
          </w:tcPr>
          <w:p>
            <w:pPr>
              <w:pStyle w:val="TableContents"/>
              <w:bidi w:val="0"/>
              <w:spacing w:before="0" w:after="283"/>
              <w:jc w:val="left"/>
              <w:rPr>
                <w:sz w:val="16"/>
              </w:rPr>
            </w:pPr>
            <w:r>
              <w:rPr>
                <w:sz w:val="16"/>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sz w:val="16"/>
              </w:rPr>
            </w:pPr>
            <w:r>
              <w:rPr>
                <w:sz w:val="16"/>
              </w:rPr>
              <w:t>864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sz w:val="16"/>
              </w:rPr>
            </w:pPr>
            <w:r>
              <w:rPr>
                <w:sz w:val="16"/>
              </w:rPr>
              <w:t>864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85" w:type="dxa"/>
            <w:tcBorders/>
            <w:shd w:fill="FFFFFF" w:val="clear"/>
            <w:vAlign w:val="center"/>
          </w:tcPr>
          <w:p>
            <w:pPr>
              <w:pStyle w:val="TableContents"/>
              <w:bidi w:val="0"/>
              <w:spacing w:before="0" w:after="283"/>
              <w:jc w:val="left"/>
              <w:rPr>
                <w:sz w:val="16"/>
              </w:rPr>
            </w:pPr>
            <w:r>
              <w:rPr>
                <w:sz w:val="16"/>
              </w:rPr>
              <w:t>Exercise of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137,683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sz w:val="16"/>
              </w:rPr>
            </w:pPr>
            <w:r>
              <w:rPr>
                <w:sz w:val="16"/>
              </w:rPr>
              <w:t>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sz w:val="16"/>
              </w:rPr>
            </w:pPr>
            <w:r>
              <w:rPr>
                <w:sz w:val="16"/>
              </w:rPr>
              <w:t>(22</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sz w:val="16"/>
              </w:rPr>
            </w:pPr>
            <w:r>
              <w:rPr>
                <w:sz w:val="16"/>
              </w:rPr>
              <w:t>54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085" w:type="dxa"/>
            <w:tcBorders/>
            <w:shd w:fill="CCEEFF" w:val="clear"/>
            <w:vAlign w:val="center"/>
          </w:tcPr>
          <w:p>
            <w:pPr>
              <w:pStyle w:val="TableContents"/>
              <w:bidi w:val="0"/>
              <w:spacing w:before="0" w:after="283"/>
              <w:jc w:val="left"/>
              <w:rPr>
                <w:sz w:val="16"/>
              </w:rPr>
            </w:pPr>
            <w:r>
              <w:rPr>
                <w:sz w:val="16"/>
              </w:rPr>
              <w:t>Cumulative translation adjustment, net of tax</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2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63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85" w:type="dxa"/>
            <w:tcBorders/>
            <w:shd w:fill="FFFFFF" w:val="clear"/>
            <w:vAlign w:val="center"/>
          </w:tcPr>
          <w:p>
            <w:pPr>
              <w:pStyle w:val="TableContents"/>
              <w:bidi w:val="0"/>
              <w:spacing w:before="0" w:after="283"/>
              <w:jc w:val="left"/>
              <w:rPr>
                <w:b/>
                <w:sz w:val="16"/>
              </w:rPr>
            </w:pPr>
            <w:r>
              <w:rPr>
                <w:b/>
                <w:sz w:val="16"/>
              </w:rPr>
              <w:t>Balance,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199,930,069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605"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213,002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55,704,955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481"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7,475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492"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426"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605"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220,477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624"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6,779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665"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(147,841</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20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885"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(3,144</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575"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76,271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858" w:type="dxa"/>
        <w:jc w:val="left"/>
        <w:tblInd w:w="0" w:type="dxa"/>
        <w:tblLayout w:type="fixed"/>
        <w:tblCellMar>
          <w:top w:w="0" w:type="dxa"/>
          <w:left w:w="0" w:type="dxa"/>
          <w:bottom w:w="0" w:type="dxa"/>
          <w:right w:w="0" w:type="dxa"/>
        </w:tblCellMar>
      </w:tblPr>
      <w:tblGrid>
        <w:gridCol w:w="38"/>
        <w:gridCol w:w="245"/>
        <w:gridCol w:w="95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osition w:val="8"/>
                <w:sz w:val="19"/>
              </w:rPr>
            </w:pPr>
            <w:r>
              <w:rPr>
                <w:position w:val="8"/>
                <w:sz w:val="19"/>
              </w:rPr>
              <w:t>(1)</w:t>
            </w:r>
          </w:p>
        </w:tc>
        <w:tc>
          <w:tcPr>
            <w:tcW w:w="9575" w:type="dxa"/>
            <w:tcBorders/>
            <w:vAlign w:val="center"/>
          </w:tcPr>
          <w:p>
            <w:pPr>
              <w:pStyle w:val="TableContents"/>
              <w:bidi w:val="0"/>
              <w:spacing w:before="0" w:after="283"/>
              <w:jc w:val="both"/>
              <w:rPr/>
            </w:pPr>
            <w:r>
              <w:rPr/>
              <w:t>The number of shares has been retroactively recast after giving effect to the Reverse Recapitalization.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47" w:name="k_011"/>
      <w:bookmarkEnd w:id="47"/>
      <w:r>
        <w:rPr>
          <w:rFonts w:ascii="Times New Roman;Times;Serif" w:hAnsi="Times New Roman;Times;Serif"/>
          <w:b/>
          <w:i w:val="false"/>
          <w:smallCaps/>
          <w:sz w:val="20"/>
        </w:rPr>
        <w:t>Xanadu Quantum Technologies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or as otherwise noted)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Description of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Quantum Technologies Limited (the “Company” or “Xanadu”) was incorporated under the Business Corporations Act (Ontario) on October 2, 2025. The Company was formed to facilitate the merger (the “Reverse Recapitalization”) between Xanadu Quantum Technologies Inc. (“Old Xanadu”) and Crane Harbor Acquisition Corp. (“SPAC”), a special purpose acquisition company. Old Xanadu was incorporated under the Canada Business Corporations Act on December 7, 2016, and subsequently continued under the Business Corporations Act (Ontario) on October 29, 2025. The Company is headquartered in Toronto, Ontario.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2026, Xanadu completed its previously announced merger pursuant to the merger agreement (the “Agreement”), dated November 3, 2025, with Old Xanadu and SPAC, a Cayman Islands exempted corporation. SPAC, was incorporated on January 2, 2025, for the purpose of effecting a merger, share exchange, asset acquisition, share purchase, reorganization or similar reverse recapitalization with one or more businesses. Upon closing, Xanadu became the parent company of both Old Xanadu and SPAC. SPAC was continued under the Business Corporations Act (Ontario) on March 20, 2026 and was renamed Xanadu Quantum Technologies Former SPAC Inc. on March 27, 2026. The Reverse Recapitalization was accounted for as a reverse recapitalization in accordance with U.S. GAAP.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Reverse Capitalization, the Xanadu Class B Subordinate Voting Shares began trading on the Nasdaq and the TSX under the symbol “XNDU”.</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specializes in designing photonic devices and the platforms around them, including the experimentation and development of quantum computers available on the cloud with supporting software, along with quantum simulators and other related products and offerings. The Company’s mission is to build quantum computers that are useful and available to people everywhere.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Basis of Presentation and Summary of Significant Accounting Policies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(the “Interim Financial Statements”) have been prepared on a going concern basis in accordance with U.S. generally accepted accounting principles (“U.S. GAAP”) for interim financial reporting and pursuant to the accounting and disclosure rules and regulations of the United States Securities Commission (“SEC”), and reflect all adjustments, consisting only of normal recurring adjustments, which are, in the opinion of management, necessary for a fair presentation of the financial position as of March 31, 2026 and the results of operations and cash flows for the periods presented. Certain information or footnote disclosures, normally included in annual financial statements prepared in accordance with GAAP, have been condensed or omitted pursuant to the rules and regulations of the SEC for interim financial reporting. Accordingly, they do not include all of the information and footnotes required by GAAP for complete financial statements. Operating results for the three months ended March 31, 2026 are not necessarily indicative of results that may be expected for the full year or any other period. Unless otherwise noted, these Interim Financial Statements are presented in thousands of United States (U.S.) dollars, which is also the Company’s functional currency.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Interim Financial Statements should be read in conjunction with the Company’s audited financial statements included in our Annual Report on Form 20-F for the year ended December 31, 2025 filed with the SEC and Canadian Securities Administrators (“CSA”) on April 9,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3, ‘Reverse Recapitalization,’ the Agreement was accounted for as a reverse recapitalization. Accordingly, the information presented for the year ended December 31, 2025, and the three months ended March 31, 2025, represents the results and financial position of Old Xanadu.</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Consolidation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of the Company include the accounts of the Company and its wholly owned subsidiaries. Any subsidiaries that are formed or acquired during the year are consolidated from their respective dates of formation or acquisition.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Xanadu Quantum Technologies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intercompany transactions and balances have been eliminated.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Use of Estimates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Xanadu’s accounting estimates and assumptions may change over time in response to risks and uncertainties. As of the date of issuance of these Interim Financial Statements, Xanadu is not aware of any specific event or circumstance that would require Xanadu to update estimates, judgments or revise the carrying value of any assets or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Going Concern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Interim Financial Statements have been prepared on a basis that assumes the Company will continue as a going concern, which contemplates the realization of assets and the settlement of liabilities in the normal course of business. The Company has incurred recurring net losses and negative cash flows from operations since inception.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the Company had an accumulated deficit of $228,314 and $206,303, respectively. For the three months ended March 31, 2026 and 2025, the Company incurred net losses of $20,604 and $12,205, respectively, and the Company had net cash outflows from operating activities of $7,035 and $16,293,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the Company had cash and cash equivalents of $272,465 and $16,164 and net working capital of $270,182 and $31,237,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2026, Xanadu successfully consummated its reverse recapitalization with SPAC and Old Xanadu and a concurrent PIPE investment. The Company received gross proceeds from the Reverse Recapitalization of $301,646, which includes $275,000 of PIPE financing and $26,646 of cash from the SPAC.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Xanadu’s current operating plan, management believes that the existing cash and cash equivalents will be sufficient to fund operations, research and development activities, and capital expenditure requirements for at least 12 months from the date these condensed consolidated financial statements are issued.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Growth Company Status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 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The Company has elected to not opt out of such extended transition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considers all short term highly liquid investments purchased with original maturities at their acquisition date of three months or less to be cash equivalents. Xanadu maintains its cash and investments with major financial institutions, which, at times, may exceed federally insured limits. Xanadu did not hold any cash equivalents as of March 31, 2026 and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Xanadu Quantum Technologies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receivables are non-interest bearing and represent amounts billed and currently due from customers at the gross invoiced amount as well as unbilled amounts related to unconditional rights for consideration to be received for services performed but not yet invoiced. A receivable is recorded when Xanadu has an unconditional right to receive payment. Xanadu’s accounts receivable includes trade and other types of receivables.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periodic basis, management evaluates its accounts receivable and determines whether to provide an allowance for credit losses. This assessment is based on management’s evaluation of the aging of accounts, historical collection experience and current economic expectations. As of March 31, 2026 and December 31, 2025, Xanadu had not recorded any allowance for doubtful accounts.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Materials and supplies,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Materials and supplies are carried at average cost and recorded in materials and supplies in the consolidated balance sheets. Materials and supplies used in research and development efforts are expensed when consumed if an alternative use exists, otherwise are expensed when incurred.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Materials and supplies are evaluated for excess quantities and obsolescence. This evaluation includes an analysis of Xanadu’s current and future strategic plans, risk of technological obsolescence, and general market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acquisition cost, less accumulated depreciation and impairment. Depreciation on property and equipment is computed on a straight-line basis over the estimated useful lives of the assets at the time of acquisition. Leasehold improvements are amortized over the lesser of the term of the lease or the useful life of the asset.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useful lives of Xanadu’s property and equipment are as follows:</w:t>
      </w:r>
    </w:p>
    <w:p>
      <w:pPr>
        <w:pStyle w:val="TextBody"/>
        <w:bidi w:val="0"/>
        <w:spacing w:before="0" w:after="0"/>
        <w:ind w:left="0" w:right="0" w:firstLine="360"/>
        <w:jc w:val="both"/>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2900"/>
        <w:gridCol w:w="60"/>
        <w:gridCol w:w="4175"/>
      </w:tblGrid>
      <w:tr>
        <w:trPr/>
        <w:tc>
          <w:tcPr>
            <w:tcW w:w="2900" w:type="dxa"/>
            <w:tcBorders/>
            <w:shd w:fill="CCEEFF" w:val="clear"/>
            <w:vAlign w:val="center"/>
          </w:tcPr>
          <w:p>
            <w:pPr>
              <w:pStyle w:val="TableContents"/>
              <w:bidi w:val="0"/>
              <w:spacing w:before="0" w:after="283"/>
              <w:jc w:val="left"/>
              <w:rPr/>
            </w:pPr>
            <w:r>
              <w:rPr/>
              <w:t>Computer systems and servers</w:t>
            </w:r>
          </w:p>
        </w:tc>
        <w:tc>
          <w:tcPr>
            <w:tcW w:w="60" w:type="dxa"/>
            <w:tcBorders/>
            <w:shd w:fill="CCEEFF" w:val="clear"/>
            <w:vAlign w:val="center"/>
          </w:tcPr>
          <w:p>
            <w:pPr>
              <w:pStyle w:val="TableContents"/>
              <w:bidi w:val="0"/>
              <w:spacing w:before="0" w:after="283"/>
              <w:jc w:val="left"/>
              <w:rPr/>
            </w:pPr>
            <w:r>
              <w:rPr/>
              <w:t> </w:t>
            </w:r>
          </w:p>
        </w:tc>
        <w:tc>
          <w:tcPr>
            <w:tcW w:w="4175" w:type="dxa"/>
            <w:tcBorders/>
            <w:shd w:fill="CCEEFF" w:val="clear"/>
            <w:vAlign w:val="center"/>
          </w:tcPr>
          <w:p>
            <w:pPr>
              <w:pStyle w:val="TableContents"/>
              <w:bidi w:val="0"/>
              <w:spacing w:before="0" w:after="283"/>
              <w:jc w:val="center"/>
              <w:rPr/>
            </w:pPr>
            <w:r>
              <w:rPr/>
              <w:t>3 years</w:t>
            </w:r>
          </w:p>
        </w:tc>
      </w:tr>
      <w:tr>
        <w:trPr/>
        <w:tc>
          <w:tcPr>
            <w:tcW w:w="2900" w:type="dxa"/>
            <w:tcBorders/>
            <w:shd w:fill="FFFFFF" w:val="clear"/>
            <w:vAlign w:val="center"/>
          </w:tcPr>
          <w:p>
            <w:pPr>
              <w:pStyle w:val="TableContents"/>
              <w:bidi w:val="0"/>
              <w:spacing w:before="0" w:after="283"/>
              <w:jc w:val="left"/>
              <w:rPr/>
            </w:pPr>
            <w:r>
              <w:rPr/>
              <w:t>Lab equipment</w:t>
            </w:r>
          </w:p>
        </w:tc>
        <w:tc>
          <w:tcPr>
            <w:tcW w:w="60" w:type="dxa"/>
            <w:tcBorders/>
            <w:shd w:fill="FFFFFF" w:val="clear"/>
            <w:vAlign w:val="center"/>
          </w:tcPr>
          <w:p>
            <w:pPr>
              <w:pStyle w:val="TableContents"/>
              <w:bidi w:val="0"/>
              <w:spacing w:before="0" w:after="283"/>
              <w:jc w:val="left"/>
              <w:rPr/>
            </w:pPr>
            <w:r>
              <w:rPr/>
              <w:t> </w:t>
            </w:r>
          </w:p>
        </w:tc>
        <w:tc>
          <w:tcPr>
            <w:tcW w:w="4175" w:type="dxa"/>
            <w:tcBorders/>
            <w:shd w:fill="FFFFFF" w:val="clear"/>
            <w:vAlign w:val="center"/>
          </w:tcPr>
          <w:p>
            <w:pPr>
              <w:pStyle w:val="TableContents"/>
              <w:bidi w:val="0"/>
              <w:spacing w:before="0" w:after="283"/>
              <w:jc w:val="center"/>
              <w:rPr/>
            </w:pPr>
            <w:r>
              <w:rPr/>
              <w:t>7 years</w:t>
            </w:r>
          </w:p>
        </w:tc>
      </w:tr>
      <w:tr>
        <w:trPr/>
        <w:tc>
          <w:tcPr>
            <w:tcW w:w="2900" w:type="dxa"/>
            <w:tcBorders/>
            <w:shd w:fill="CCEEFF" w:val="clear"/>
            <w:vAlign w:val="center"/>
          </w:tcPr>
          <w:p>
            <w:pPr>
              <w:pStyle w:val="TableContents"/>
              <w:bidi w:val="0"/>
              <w:spacing w:before="0" w:after="283"/>
              <w:jc w:val="left"/>
              <w:rPr/>
            </w:pPr>
            <w:r>
              <w:rPr/>
              <w:t>Test and computer equipment</w:t>
            </w:r>
          </w:p>
        </w:tc>
        <w:tc>
          <w:tcPr>
            <w:tcW w:w="60" w:type="dxa"/>
            <w:tcBorders/>
            <w:shd w:fill="CCEEFF" w:val="clear"/>
            <w:vAlign w:val="center"/>
          </w:tcPr>
          <w:p>
            <w:pPr>
              <w:pStyle w:val="TableContents"/>
              <w:bidi w:val="0"/>
              <w:spacing w:before="0" w:after="283"/>
              <w:jc w:val="left"/>
              <w:rPr/>
            </w:pPr>
            <w:r>
              <w:rPr/>
              <w:t> </w:t>
            </w:r>
          </w:p>
        </w:tc>
        <w:tc>
          <w:tcPr>
            <w:tcW w:w="4175" w:type="dxa"/>
            <w:tcBorders/>
            <w:shd w:fill="CCEEFF" w:val="clear"/>
            <w:vAlign w:val="center"/>
          </w:tcPr>
          <w:p>
            <w:pPr>
              <w:pStyle w:val="TableContents"/>
              <w:bidi w:val="0"/>
              <w:spacing w:before="0" w:after="283"/>
              <w:jc w:val="center"/>
              <w:rPr/>
            </w:pPr>
            <w:r>
              <w:rPr/>
              <w:t>7 years</w:t>
            </w:r>
          </w:p>
        </w:tc>
      </w:tr>
      <w:tr>
        <w:trPr/>
        <w:tc>
          <w:tcPr>
            <w:tcW w:w="2900" w:type="dxa"/>
            <w:tcBorders/>
            <w:shd w:fill="FFFFFF" w:val="clear"/>
            <w:vAlign w:val="center"/>
          </w:tcPr>
          <w:p>
            <w:pPr>
              <w:pStyle w:val="TableContents"/>
              <w:bidi w:val="0"/>
              <w:spacing w:before="0" w:after="283"/>
              <w:jc w:val="left"/>
              <w:rPr/>
            </w:pPr>
            <w:r>
              <w:rPr/>
              <w:t>Furniture and fixtures</w:t>
            </w:r>
          </w:p>
        </w:tc>
        <w:tc>
          <w:tcPr>
            <w:tcW w:w="60" w:type="dxa"/>
            <w:tcBorders/>
            <w:shd w:fill="FFFFFF" w:val="clear"/>
            <w:vAlign w:val="center"/>
          </w:tcPr>
          <w:p>
            <w:pPr>
              <w:pStyle w:val="TableContents"/>
              <w:bidi w:val="0"/>
              <w:spacing w:before="0" w:after="283"/>
              <w:jc w:val="left"/>
              <w:rPr/>
            </w:pPr>
            <w:r>
              <w:rPr/>
              <w:t> </w:t>
            </w:r>
          </w:p>
        </w:tc>
        <w:tc>
          <w:tcPr>
            <w:tcW w:w="4175" w:type="dxa"/>
            <w:tcBorders/>
            <w:shd w:fill="FFFFFF" w:val="clear"/>
            <w:vAlign w:val="center"/>
          </w:tcPr>
          <w:p>
            <w:pPr>
              <w:pStyle w:val="TableContents"/>
              <w:bidi w:val="0"/>
              <w:spacing w:before="0" w:after="283"/>
              <w:jc w:val="center"/>
              <w:rPr/>
            </w:pPr>
            <w:r>
              <w:rPr/>
              <w:t>3 years</w:t>
            </w:r>
          </w:p>
        </w:tc>
      </w:tr>
      <w:tr>
        <w:trPr/>
        <w:tc>
          <w:tcPr>
            <w:tcW w:w="2900"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4175" w:type="dxa"/>
            <w:tcBorders/>
            <w:shd w:fill="CCEEFF" w:val="clear"/>
            <w:vAlign w:val="center"/>
          </w:tcPr>
          <w:p>
            <w:pPr>
              <w:pStyle w:val="TableContents"/>
              <w:bidi w:val="0"/>
              <w:spacing w:before="0" w:after="283"/>
              <w:jc w:val="center"/>
              <w:rPr/>
            </w:pPr>
            <w:r>
              <w:rPr/>
              <w:t>Shorter of lease term or estimated useful life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Repairs and maintenance costs are expensed as incurred. Upon disposition of property and equipment, the cost and related accumulated depreciation are derecognized and any resulting gain or loss is reflected in other income (expense), net within the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Xanadu’s intangible assets include patents and external software licenses, which are carried at cost less accumulated amortization and impairment. Intangible assets with finite useful lives are amortized over their estimated useful lives on a straight-line basis. Xanadu capitalizes costs associated with internal use software incurred during the application development stage. Capitalized costs include external direct costs of materials and services utilized in developing or obtaining internal-use software and payroll and payroll-related expenses for employees who are directly associated with and allocate time to the internal-use software project. Capitalization of such costs begins when the preliminary project stage is complete and ceases when the project is substantially complete and ready for its intended purpose. Costs incurred during the preliminary project and post-implementation stages are expensed as incurred.</w:t>
      </w:r>
    </w:p>
    <w:p>
      <w:pPr>
        <w:pStyle w:val="TextBody"/>
        <w:bidi w:val="0"/>
        <w:spacing w:before="0" w:after="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3710"/>
        <w:gridCol w:w="60"/>
        <w:gridCol w:w="605"/>
      </w:tblGrid>
      <w:tr>
        <w:trPr/>
        <w:tc>
          <w:tcPr>
            <w:tcW w:w="3710" w:type="dxa"/>
            <w:tcBorders/>
            <w:shd w:fill="CCEEFF" w:val="clear"/>
            <w:vAlign w:val="center"/>
          </w:tcPr>
          <w:p>
            <w:pPr>
              <w:pStyle w:val="TableContents"/>
              <w:bidi w:val="0"/>
              <w:spacing w:before="0" w:after="283"/>
              <w:jc w:val="left"/>
              <w:rPr/>
            </w:pPr>
            <w:r>
              <w:rPr/>
              <w:t>Patents</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years</w:t>
            </w:r>
          </w:p>
        </w:tc>
      </w:tr>
      <w:tr>
        <w:trPr/>
        <w:tc>
          <w:tcPr>
            <w:tcW w:w="3710" w:type="dxa"/>
            <w:tcBorders/>
            <w:shd w:fill="FFFFFF" w:val="clear"/>
            <w:vAlign w:val="center"/>
          </w:tcPr>
          <w:p>
            <w:pPr>
              <w:pStyle w:val="TableContents"/>
              <w:bidi w:val="0"/>
              <w:spacing w:before="0" w:after="283"/>
              <w:jc w:val="left"/>
              <w:rPr/>
            </w:pPr>
            <w:r>
              <w:rPr/>
              <w:t>Internally developed software</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 years</w:t>
            </w:r>
          </w:p>
        </w:tc>
      </w:tr>
      <w:tr>
        <w:trPr/>
        <w:tc>
          <w:tcPr>
            <w:tcW w:w="3710" w:type="dxa"/>
            <w:tcBorders/>
            <w:shd w:fill="CCEEFF" w:val="clear"/>
            <w:vAlign w:val="center"/>
          </w:tcPr>
          <w:p>
            <w:pPr>
              <w:pStyle w:val="TableContents"/>
              <w:bidi w:val="0"/>
              <w:spacing w:before="0" w:after="283"/>
              <w:jc w:val="left"/>
              <w:rPr/>
            </w:pPr>
            <w:r>
              <w:rPr/>
              <w:t>Third-party perpetual software licenses</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years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including property and equipment and finite-lived intangible assets, are reviewed for impairment whenever events or changes in circumstances indicate that the carrying amounts of such assets may not be recoverable. The determination of whether any impairment exists includes a comparison of estimated undiscounted future cash flows anticipated to be generated over the remaining life of the asset or asset group to its net carrying value. If the estimated undiscounted future cash flows associated with the asset or asset group are less than the carrying value, an impairment loss is recognized to the extent the carrying amount of the asset or asset group exceeds its fair value. Xanadu did not recognize any impairment losses on long-lived assets for the three months ended March 31, 2026 and 2025.</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 Foreign currency translation and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Xanadu’s reporting currency is the U.S. dollar and its functional currency is the U.S. dollar. The functional currency of Xanadu’s subsidiary, Old Xanadu, is the Canadian dollar. The results and financial position of the foreign subsidiaries whose functional currency is not the U.S. dollar are translated at exchange rates in effect as of the consolidated balance sheet dates for assets and liabilities and at average exchange rates for revenues and expenses for the respective periods. Translation adjustments are included as a cumulative translation adjustment in accumulated other comprehensive income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Monetary assets and liabilities that are denominated in a currency other than Xanadu’s functional currency are translated into the functional currency using the exchange rates as of the consolidated balance sheet dates, and revenues and expenses are translated at the exchange rates prevailing when the transactions occurred. Gains and losses resulting from translation are recognized in other income, net in the consolidated statements of operations and comprehensive loss in the period in which they arise. Non-monetary assets and liabilities are translated at historical exchange rates.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derives revenue primarily from: (i) professional services related to research projects, proof of concept development, and quantum education and (ii) compute and other services which includes provision of compute services, such as co-development and execution of quantum algorithms on Xanadu’s quantum computing systems, and provision, on a non-exclusive basis via access to its photonic-based hardware, of quantum-computing-as-a-service (“QCaaS”).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based on the following five step model in accordance with Accounting Standards Codification (“ASC”) 606, Revenue from Contracts with Customers:</w:t>
      </w:r>
    </w:p>
    <w:p>
      <w:pPr>
        <w:pStyle w:val="TextBody"/>
        <w:bidi w:val="0"/>
        <w:spacing w:before="0" w:after="0"/>
        <w:ind w:left="0" w:right="0" w:firstLine="360"/>
        <w:jc w:val="both"/>
        <w:rPr>
          <w:caps w:val="false"/>
          <w:smallCaps w:val="false"/>
        </w:rPr>
      </w:pPr>
      <w:r>
        <w:rPr>
          <w:caps w:val="false"/>
          <w:smallCaps w:val="false"/>
        </w:rPr>
        <w:t> </w:t>
      </w:r>
    </w:p>
    <w:tbl>
      <w:tblPr>
        <w:tblW w:w="2193" w:type="dxa"/>
        <w:jc w:val="left"/>
        <w:tblInd w:w="0" w:type="dxa"/>
        <w:tblLayout w:type="fixed"/>
        <w:tblCellMar>
          <w:top w:w="0" w:type="dxa"/>
          <w:left w:w="0" w:type="dxa"/>
          <w:bottom w:w="0" w:type="dxa"/>
          <w:right w:w="0" w:type="dxa"/>
        </w:tblCellMar>
      </w:tblPr>
      <w:tblGrid>
        <w:gridCol w:w="38"/>
        <w:gridCol w:w="170"/>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85" w:type="dxa"/>
            <w:tcBorders/>
            <w:vAlign w:val="center"/>
          </w:tcPr>
          <w:p>
            <w:pPr>
              <w:pStyle w:val="TableContents"/>
              <w:bidi w:val="0"/>
              <w:spacing w:before="0" w:after="283"/>
              <w:jc w:val="both"/>
              <w:rPr/>
            </w:pPr>
            <w:r>
              <w:rPr/>
              <w:t>Identify the contract,</w:t>
            </w:r>
          </w:p>
        </w:tc>
      </w:tr>
    </w:tbl>
    <w:p>
      <w:pPr>
        <w:pStyle w:val="TextBody"/>
        <w:bidi w:val="0"/>
        <w:spacing w:before="0" w:after="0"/>
        <w:jc w:val="left"/>
        <w:rPr>
          <w:caps w:val="false"/>
          <w:smallCaps w:val="false"/>
        </w:rPr>
      </w:pPr>
      <w:r>
        <w:rPr>
          <w:caps w:val="false"/>
          <w:smallCaps w:val="false"/>
        </w:rPr>
        <w:t> </w:t>
      </w:r>
    </w:p>
    <w:tbl>
      <w:tblPr>
        <w:tblW w:w="3723" w:type="dxa"/>
        <w:jc w:val="left"/>
        <w:tblInd w:w="0" w:type="dxa"/>
        <w:tblLayout w:type="fixed"/>
        <w:tblCellMar>
          <w:top w:w="0" w:type="dxa"/>
          <w:left w:w="0" w:type="dxa"/>
          <w:bottom w:w="0" w:type="dxa"/>
          <w:right w:w="0" w:type="dxa"/>
        </w:tblCellMar>
      </w:tblPr>
      <w:tblGrid>
        <w:gridCol w:w="38"/>
        <w:gridCol w:w="170"/>
        <w:gridCol w:w="3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15" w:type="dxa"/>
            <w:tcBorders/>
            <w:vAlign w:val="center"/>
          </w:tcPr>
          <w:p>
            <w:pPr>
              <w:pStyle w:val="TableContents"/>
              <w:bidi w:val="0"/>
              <w:spacing w:before="0" w:after="283"/>
              <w:jc w:val="both"/>
              <w:rPr/>
            </w:pPr>
            <w:r>
              <w:rPr/>
              <w:t>Identify the performance obligations,</w:t>
            </w:r>
          </w:p>
        </w:tc>
      </w:tr>
    </w:tbl>
    <w:p>
      <w:pPr>
        <w:pStyle w:val="TextBody"/>
        <w:bidi w:val="0"/>
        <w:spacing w:before="0" w:after="0"/>
        <w:jc w:val="left"/>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17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35" w:type="dxa"/>
            <w:tcBorders/>
            <w:vAlign w:val="center"/>
          </w:tcPr>
          <w:p>
            <w:pPr>
              <w:pStyle w:val="TableContents"/>
              <w:bidi w:val="0"/>
              <w:spacing w:before="0" w:after="283"/>
              <w:jc w:val="both"/>
              <w:rPr/>
            </w:pPr>
            <w:r>
              <w:rPr/>
              <w:t>Determine the transaction price,</w:t>
            </w:r>
          </w:p>
        </w:tc>
      </w:tr>
    </w:tbl>
    <w:p>
      <w:pPr>
        <w:pStyle w:val="TextBody"/>
        <w:bidi w:val="0"/>
        <w:spacing w:before="0" w:after="0"/>
        <w:jc w:val="left"/>
        <w:rPr>
          <w:caps w:val="false"/>
          <w:smallCaps w:val="false"/>
        </w:rPr>
      </w:pPr>
      <w:r>
        <w:rPr>
          <w:caps w:val="false"/>
          <w:smallCaps w:val="false"/>
        </w:rPr>
        <w:t> </w:t>
      </w:r>
    </w:p>
    <w:tbl>
      <w:tblPr>
        <w:tblW w:w="6378" w:type="dxa"/>
        <w:jc w:val="left"/>
        <w:tblInd w:w="0" w:type="dxa"/>
        <w:tblLayout w:type="fixed"/>
        <w:tblCellMar>
          <w:top w:w="0" w:type="dxa"/>
          <w:left w:w="0" w:type="dxa"/>
          <w:bottom w:w="0" w:type="dxa"/>
          <w:right w:w="0" w:type="dxa"/>
        </w:tblCellMar>
      </w:tblPr>
      <w:tblGrid>
        <w:gridCol w:w="38"/>
        <w:gridCol w:w="170"/>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283"/>
              <w:jc w:val="both"/>
              <w:rPr/>
            </w:pPr>
            <w:r>
              <w:rPr/>
              <w:t>Allocate the transaction price to the performance obligations, and</w:t>
            </w:r>
          </w:p>
        </w:tc>
      </w:tr>
    </w:tbl>
    <w:p>
      <w:pPr>
        <w:pStyle w:val="TextBody"/>
        <w:bidi w:val="0"/>
        <w:spacing w:before="0" w:after="0"/>
        <w:jc w:val="left"/>
        <w:rPr>
          <w:caps w:val="false"/>
          <w:smallCaps w:val="false"/>
        </w:rPr>
      </w:pPr>
      <w:r>
        <w:rPr>
          <w:caps w:val="false"/>
          <w:smallCaps w:val="false"/>
        </w:rPr>
        <w:t> </w:t>
      </w:r>
    </w:p>
    <w:tbl>
      <w:tblPr>
        <w:tblW w:w="7503" w:type="dxa"/>
        <w:jc w:val="left"/>
        <w:tblInd w:w="0" w:type="dxa"/>
        <w:tblLayout w:type="fixed"/>
        <w:tblCellMar>
          <w:top w:w="0" w:type="dxa"/>
          <w:left w:w="0" w:type="dxa"/>
          <w:bottom w:w="0" w:type="dxa"/>
          <w:right w:w="0" w:type="dxa"/>
        </w:tblCellMar>
      </w:tblPr>
      <w:tblGrid>
        <w:gridCol w:w="38"/>
        <w:gridCol w:w="17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both"/>
              <w:rPr/>
            </w:pPr>
            <w:r>
              <w:rPr/>
              <w:t>Recognize revenue when (or as) the entity satisfies a performance obligation.</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Xanadu Quantum Technologies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enters into contracts that can include various combinations of products and services, which are generally capable of being distinct and accounted for as separate performance obligations. Payment terms on invoiced amounts are typically net 30 days or less. Contract durations generally range from six months to several years. A contract’s transaction price is allocated to each distinct performance obligation based on their estimated standalone selling price. Xanadu determines standalone selling price based on the observable price of a product or service when it sells the products or services separately in similar circumstances and to similar customers. Certain products and services have limited or no history of being sold on a standalone basis. In these instances, Xanadu determines standalone selling price by considering its overall pricing objectives and market conditions, including cost plus a reasonable margin. Significant pricing practices considered include Xanadu’s discounting practices, the value of the contracts, historical standalone sales, customer demographics, geographic locations, and the number and types of users within the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net of taxes, which are remitted to governmental authorities.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services arrangements often include a series of activities with progress billing milestones. Xanadu’s professional services constitute an activity that provides benefits that the customer receives and consumes as the services are performed. The transaction price is generally fixed and stated in the contract with the customer. Professional services revenue is recognized based on hours and, or costs incurred as appropriate. Revenue for partially completed professional service performance obligations deemed probable of being met is recognized using an input measure based on actual labor hours incurred to date relative to total estimated labor hours required to complete the project. For fixed price contracts, revenue is recognized based on the input measure noted above as control is expected to transfer over the period that the project is completed.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has determined that its QCaaS, including non-exclusive access to photonic hardware, is a stand-ready performance obligation to provide ongoing access to its cloud-based quantum technology platform service. The transaction price generally consists of a fixed fee for a stated volume of usage to be made available over a defined period of access. Fixed fee arrangements may also include a variable component whereby customers pay additional fees for usage exceeding contractual volume as defined by the contractual agreements. The performance obligation related to the fixed fee is satisfied over time and revenue is recognized on a straight-line basis over the access period. Any additional fees relating to extra usage are recognized in the period they occur.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Xanadu’s compute services represent a performance obligation that is satisfied over-time. Revenue is recognized on a straight-line basis over the contract term.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billings and cash collection may result in accounts receivable, contract assets, and deferred revenue on Xanadu’s consolidated balance sheets. A receivable is recorded in the period in which Xanadu provides services when it has an unconditional right to payment. Contract assets represent rights to consideration for services completed and revenue recognized for contracts that have not yet been invoiced to customers, which have been included within accounts receivable on the consolidated balance sheets.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records deferred revenue when amounts are invoiced under contract terms or payments are received in advance of revenue recognition from products or services described above. Deferred revenue is recognized as and when the related performance obligations are satisfied.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defers commission payments to employees or third parties that are direct and incremental to the acquisition of customer contracts in the period the contract is executed and are recognized into sales and marketing expense over a period consistent with the transfer of goods or services to the customer if that period is greater than one year. No such costs were incurred in the years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consists of direct expenses related to building specialized quantum hardware and delivering Xanadu’s services. Cost of revenue includes direct manufacturing costs, personnel-related expenses, including stock-based compensation, and overhead costs, including operating lease expenses, allocated to customer-facing functions. Depreciation and amortization of quantum systems and related software are excluded from cost of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Xanadu Quantum Technologies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 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are charged to the consolidated statement of operations and comprehensive loss as incurred. Research and development expenses are comprised of costs in performing research and development activities and include personnel-related costs, process development costs, chip fabrication costs, consulting fees, lab materials, software costs, cloud computing costs, and other related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tangible assets or software to be used in research and development activities is constructed by Xanadu or acquired, the costs are expensed as incurred unless those assets have an alternative future use. When assets with alternative future use are consumed in research and development activities they are recorded as research and development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accounts for stock-based compensation in accordance with ASC 718, Compensation - Stock Compensation. Equity-settled stock based payments to employees and others providing similar services are recognized as stock-based compensation expense based on the fair value of the equity instruments at the grant date. Stock-based compensation expense is recognized over the requisite service period on a straight-line basis, with a corresponding increase in additional paid-in capital within shareholders’ equity. Xanadu recognizes forfeitures as they occur.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 Investment tax credits and government assistance: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Refundable investment tax credits (“ITCs”) pursuant to the Scientific Research and Experimental Development (“SR&amp;ED”) program and other government assistance including grants and wage subsidies related to current expenditures are recorded as other operating income, net within the consolidated statements of operations and comprehensive loss. Non-refundable investment tax credits are recorded as a reduction in income tax expense. Xanadu accounts for investment tax credits and government grants and subsidies by analogy to International Accounting Standard 20, Accounting for Government Grants and Disclosures of Government Assistance. The investment tax credits, and government grants and subsidies are recognized in income in the period when the related expenditure is recognized as an expense provided there is reasonable assurance that Xanadu has complied with, and will continue to comply with, all conditions necessary to obtain the government assistance or credit. Government grants and assistance related to capitalized expenditures are recognized as a reduction to the carrying amount of the related asset.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 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is computed by dividing the net loss available to common shareholders by the weighted average number of Xanadu Class A Multiple Voting Shares and Xanadu Class B Subordinate Voting Shares outstanding during each period. Xanadu’s potentially dilutive securities include outstanding stock options and other equity compensation securities, Earn-out Shares and warrants. Diluted net loss per share gives effect to all potentially dilutive securities, assuming that such shares were outstanding and dilutive during each period, except when the inclusion of the potentially dilutive securities would have an anti-dilutive effect. Xanadu applies the two-class method when computing net loss per share, as Xanadu has issued shares that meet the definition of participating securities. The two-class method allocates earnings between common shareholders and holders of participating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Xanadu Quantum Technologies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 Fair value measurement: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an exit price, representing the amount that would be received to sell an asset or paid to transfer a liability in an orderly transaction between market participants. In determining fair value, the use of various valuation methodologies, including market, income and cost approaches is permissible. The inputs to these methodologies consider market comparable information, taking into account the principal or most advantageous market in which Xanadu would transact. The fair value hierarchy prioritizes which inputs should be used in measuring fair value and requires the use of observable market data when available. There are three levels of inputs that may be used to measure fair value based on the reliability of inputs, and a financial instrument’s categorization within the fair value hierarchy is based upon the lowest level of input that is significant to the fair value measurement: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1: Quoted market prices in active markets that the reporting entity has the ability to access at the date of the fair value measurement.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2: Inputs other than quoted market prices described in Level 1 that are observable for the asset or liability,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3: Unobservable inputs that are supported by little or no market activity and that are significant to the fair value measurement of the assets or liabilities.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 Concentration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Xanadu to concentration of credit risk principally consist of cash and cash equivalents and accounts receivable. Xanadu’s policy is to place its cash and cash equivalents with major financial institutions to limit the amount of credit exposure. For Xanadu’s accounts receivable and grants receivable, credit risk is dependent upon the financial stability of individual customers or government entity. Xanadu performs ongoing evaluations of its customers’ and grantor’s financial condition and does not have a history of material credit losses. Refer to Note 12 for additional information about Xanadu’s significant customers. Other receivables represent an insignificant part of Xanadu’s financial position.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 Earn-out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815 - “Derivatives and Hedging”, unvested Earn-out Shares (as discussed in Note 3 below) are classified as a liability because they are not considered to be indexed to the Company’s common shares. The Company will re-measure the earn-out shares to fair value at each reporting period with the changes recognized as a gain (loss) on the fair value of earn-out liabilities on the consolidated statement of operations and comprehensive loss. Upon issuance and release of the shares after each triggering event (as described in Note 3) is met, the related Earn-out Shares will be remeasured to fair value at that time with the changes recognized as a gain (loss) on the fair value of earn-out liabilities on the consolidated statement of operations and comprehensive loss, and the Earn-out Shares will be reclassed to shareholders’ equity on the consolidated balance sheet.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its financial instruments to determine if such instruments are derivatives or contain features that qualify as embedded derivatives in accordance with ASC Topic 815 - “Derivatives and Hedging”. For derivative financial instruments that are accounted for as liabilities, the derivative instrument is initially recorded at its fair value on the grant date and is then re-measured at each reporting date, with changes in the fair value reported in the consolidated statement of operations and comprehensive loss. For financial instruments that meet the requirements for equity classification, the instruments are recorded at their fair value at the date of issuance or reclassification and are not subsequently remeasured. The classification of derivative instruments, including whether such instruments should be recorded as liabilities or as equity, is evaluated at the end of each reporting period.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Reverse Recapitalization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1, Xanadu entered into the Agreement on November 3, 2025 with SPAC and Old Xanadu. The Reverse Recapitalization closed on March 26, 2026 (the “Closing Date”). At the closing of the transactions contemplated by the Agreement (the “Closing”), Xanadu had three authorized classes of shares, multiple voting shares (“Xanadu Class A Multiple Voting Shares”), subordinate voting shares (“Xanadu Class B Subordinate Voting Shares”) and preferred shares (“Xanadu Preferred Shares”) issuable in series, of which only Xanadu Class A Multiple Voting Shares and Xanadu Class B Subordinate Voting Shares were issued and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Xanadu Quantum Technologies Limited</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effective time of the Reverse Recapitalization, the following occurred: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Preferred Share Exchange:</w:t>
            </w:r>
            <w:r>
              <w:rPr/>
              <w:t xml:space="preserve"> Each then issued and outstanding preferred share in the capital of Old Xanadu was converted into and exchanged for one voting common share in the capital of Old Xanadu (each, an “Old Xanadu Voting Common Share”).</w:t>
            </w:r>
          </w:p>
        </w:tc>
      </w:tr>
    </w:tbl>
    <w:p>
      <w:pPr>
        <w:pStyle w:val="TextBody"/>
        <w:bidi w:val="0"/>
        <w:spacing w:before="0" w:after="0"/>
        <w:ind w:left="0" w:right="0" w:firstLine="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Recapitalization and Share Exchange:</w:t>
            </w:r>
            <w:r>
              <w:rPr/>
              <w:t xml:space="preserve"> Each outstanding Old Xanadu Voting Common Share (including those issued upon the preferred share exchange) was transferred to the Company in exchange for a multiple voting share in the capital of Xanadu (each, a “Xanadu Class A Multiple Voting Share”) based on an exchange ratio of 11.28 (the “Exchange Ratio”). Each outstanding non-voting common share in the capital of Old Xanadu (each, an “Old Xanadu Non-Voting Common Share”) was transferred to the Company in exchange for a subordinate voting share in the capital of Xanadu (each, a “Xanadu Class B Subordinate Voting Share”) based on the same Exchange Ratio.</w:t>
            </w:r>
          </w:p>
        </w:tc>
      </w:tr>
    </w:tbl>
    <w:p>
      <w:pPr>
        <w:pStyle w:val="TextBody"/>
        <w:bidi w:val="0"/>
        <w:spacing w:before="0" w:after="0"/>
        <w:ind w:left="0" w:right="0" w:firstLine="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Equity Award Exchange:</w:t>
            </w:r>
            <w:r>
              <w:rPr/>
              <w:t xml:space="preserve"> Each Old Xanadu voting option outstanding (whether vested or unvested) was exchanged for an option to purchase Xanadu Class A Multiple Voting Shares (each, a “Xanadu Class A Multiple Voting Share Option”). Each Old Xanadu non-voting option outstanding (whether vested or unvested) was exchanged for an option to purchase Xanadu Class B Subordinate Voting Shares (each, a “Xanadu Class B Subordinate Voting Share Option”). The number of Xanadu shares subject to each new option was determined by multiplying the number of Old Xanadu common shares subject to the original option by the Exchange Ratio (rounded down to the nearest whole share). The per-share exercise price for the new options was determined by dividing the prior exercise price by the Exchange Ratio. The strike price was converted from Canadian dollars to U.S. dollars to align with the trading of the Xanadu Class B Subordinate Voting Shares on the Nasdaq market.</w:t>
            </w:r>
          </w:p>
        </w:tc>
      </w:tr>
    </w:tbl>
    <w:p>
      <w:pPr>
        <w:pStyle w:val="TextBody"/>
        <w:bidi w:val="0"/>
        <w:spacing w:before="0" w:after="0"/>
        <w:ind w:left="0" w:right="0" w:firstLine="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Warrant Exercise and Exchange</w:t>
            </w:r>
            <w:r>
              <w:rPr/>
              <w:t>: The Old Xanadu SFTrust Warrants and RBC Warrants (as defined below) outstanding immediately prior to the closing of the Reverse Recapitalization were exchanged for warrants to purchase Xanadu Class A Multiple Voting Shares (“MVS Warrants”) and Xanadu Class B Subordinate Voting Shares (“SVS Warrants”) based on the Exchange Ratio and a U.S. dollar denominated strike price. The Old Xanadu SFTrust Warrants were exchanged for warrants exercisable for 383,645 Xanadu Class A Multiple Voting Shares at a price of $0.02 per share and 136,329 Xanadu Class A Multiple Voting Shares at a price of $0.15 per share. Subsequently, on March 30, 2026, holders exercised the SFTrust Warrants on a net basis, resulting in 517,527 of these warrants being exchanged for Xanadu Class A Multiple Voting Shares on a cashless basis. The Old Xanadu RBC Warrants (as defined below) were exchanged for 157,960 warrants to purchase Xanadu Class B Subordinate Voting Shares at a price of $1.15 per share warrants to purchase Xanadu Class B Subordinate Voting Shares (“SVS Warrants”).</w:t>
            </w:r>
          </w:p>
        </w:tc>
      </w:tr>
    </w:tbl>
    <w:p>
      <w:pPr>
        <w:pStyle w:val="TextBody"/>
        <w:bidi w:val="0"/>
        <w:spacing w:before="0" w:after="0"/>
        <w:ind w:left="0" w:right="0" w:firstLine="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 xml:space="preserve">PIPE Financing: </w:t>
            </w:r>
            <w:r>
              <w:rPr/>
              <w:t>Xanadu issued and sold 27.5 million Xanadu Class B Subordinate Voting Shares to investors in the PIPE (“PIPE Investors”) at a price of $10.00 per share for aggregate gross proceeds of $275,000.</w:t>
            </w:r>
          </w:p>
        </w:tc>
      </w:tr>
    </w:tbl>
    <w:p>
      <w:pPr>
        <w:pStyle w:val="TextBody"/>
        <w:bidi w:val="0"/>
        <w:spacing w:before="0" w:after="0"/>
        <w:ind w:left="0" w:right="0" w:firstLine="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 xml:space="preserve">Sponsor Earn-out Shares: </w:t>
            </w:r>
            <w:r>
              <w:rPr/>
              <w:t>Crane Harbor Sponsor, LLC (the “SPAC Sponsor”) subjected 1,100,000 Xanadu Class B Subordinate Voting Shares to an earn-out arrangement (“Earn-out Shares”), which were classified as a liability recognized at fair value.</w:t>
            </w:r>
          </w:p>
        </w:tc>
      </w:tr>
    </w:tbl>
    <w:p>
      <w:pPr>
        <w:pStyle w:val="TextBody"/>
        <w:bidi w:val="0"/>
        <w:spacing w:before="0" w:after="0"/>
        <w:ind w:left="0" w:right="0" w:firstLine="9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the shares outstanding immediately following the Reverse Recapitalization and PIPE investment:</w:t>
      </w:r>
    </w:p>
    <w:p>
      <w:pPr>
        <w:pStyle w:val="TextBody"/>
        <w:bidi w:val="0"/>
        <w:spacing w:before="0" w:after="0"/>
        <w:ind w:left="0" w:right="0" w:hanging="0"/>
        <w:jc w:val="both"/>
        <w:rPr>
          <w:caps w:val="false"/>
          <w:smallCaps w:val="false"/>
        </w:rPr>
      </w:pPr>
      <w:r>
        <w:rPr>
          <w:caps w:val="false"/>
          <w:smallCaps w:val="false"/>
        </w:rPr>
        <w:t> </w:t>
      </w:r>
    </w:p>
    <w:tbl>
      <w:tblPr>
        <w:tblW w:w="7474" w:type="dxa"/>
        <w:jc w:val="left"/>
        <w:tblInd w:w="0" w:type="dxa"/>
        <w:tblLayout w:type="fixed"/>
        <w:tblCellMar>
          <w:top w:w="0" w:type="dxa"/>
          <w:left w:w="0" w:type="dxa"/>
          <w:bottom w:w="0" w:type="dxa"/>
          <w:right w:w="0" w:type="dxa"/>
        </w:tblCellMar>
      </w:tblPr>
      <w:tblGrid>
        <w:gridCol w:w="4475"/>
        <w:gridCol w:w="60"/>
        <w:gridCol w:w="60"/>
        <w:gridCol w:w="1220"/>
        <w:gridCol w:w="60"/>
        <w:gridCol w:w="60"/>
        <w:gridCol w:w="121"/>
        <w:gridCol w:w="1143"/>
        <w:gridCol w:w="275"/>
      </w:tblGrid>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Voting</w:t>
            </w:r>
          </w:p>
        </w:tc>
        <w:tc>
          <w:tcPr>
            <w:tcW w:w="275"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Old Xanadu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257,684,899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86.5</w:t>
            </w:r>
          </w:p>
        </w:tc>
        <w:tc>
          <w:tcPr>
            <w:tcW w:w="275" w:type="dxa"/>
            <w:tcBorders/>
            <w:shd w:fill="CCEEFF" w:val="clear"/>
            <w:vAlign w:val="center"/>
          </w:tcPr>
          <w:p>
            <w:pPr>
              <w:pStyle w:val="TableContents"/>
              <w:bidi w:val="0"/>
              <w:spacing w:before="0" w:after="283"/>
              <w:jc w:val="left"/>
              <w:rPr/>
            </w:pPr>
            <w:r>
              <w:rPr/>
              <w:t>%</w:t>
            </w:r>
          </w:p>
        </w:tc>
      </w:tr>
      <w:tr>
        <w:trPr/>
        <w:tc>
          <w:tcPr>
            <w:tcW w:w="4475" w:type="dxa"/>
            <w:tcBorders/>
            <w:shd w:fill="FFFFFF" w:val="clear"/>
            <w:vAlign w:val="center"/>
          </w:tcPr>
          <w:p>
            <w:pPr>
              <w:pStyle w:val="TableContents"/>
              <w:bidi w:val="0"/>
              <w:spacing w:before="0" w:after="283"/>
              <w:jc w:val="left"/>
              <w:rPr/>
            </w:pPr>
            <w:r>
              <w:rPr/>
              <w:t>PIPE Investors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27,500,000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9.2</w:t>
            </w:r>
          </w:p>
        </w:tc>
        <w:tc>
          <w:tcPr>
            <w:tcW w:w="275" w:type="dxa"/>
            <w:tcBorders/>
            <w:shd w:fill="FFFFFF" w:val="clear"/>
            <w:vAlign w:val="center"/>
          </w:tcPr>
          <w:p>
            <w:pPr>
              <w:pStyle w:val="TableContents"/>
              <w:bidi w:val="0"/>
              <w:spacing w:before="0" w:after="283"/>
              <w:jc w:val="left"/>
              <w:rPr/>
            </w:pPr>
            <w:r>
              <w:rPr/>
              <w:t>%</w:t>
            </w:r>
          </w:p>
        </w:tc>
      </w:tr>
      <w:tr>
        <w:trPr/>
        <w:tc>
          <w:tcPr>
            <w:tcW w:w="4475" w:type="dxa"/>
            <w:tcBorders/>
            <w:shd w:fill="CCEEFF" w:val="clear"/>
            <w:vAlign w:val="center"/>
          </w:tcPr>
          <w:p>
            <w:pPr>
              <w:pStyle w:val="TableContents"/>
              <w:bidi w:val="0"/>
              <w:spacing w:before="0" w:after="283"/>
              <w:jc w:val="left"/>
              <w:rPr/>
            </w:pPr>
            <w:r>
              <w:rPr/>
              <w:t>SPAC Public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3,211,605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1.0</w:t>
            </w:r>
          </w:p>
        </w:tc>
        <w:tc>
          <w:tcPr>
            <w:tcW w:w="275" w:type="dxa"/>
            <w:tcBorders/>
            <w:shd w:fill="CCEEFF" w:val="clear"/>
            <w:vAlign w:val="center"/>
          </w:tcPr>
          <w:p>
            <w:pPr>
              <w:pStyle w:val="TableContents"/>
              <w:bidi w:val="0"/>
              <w:spacing w:before="0" w:after="283"/>
              <w:jc w:val="left"/>
              <w:rPr/>
            </w:pPr>
            <w:r>
              <w:rPr/>
              <w:t>%</w:t>
            </w:r>
          </w:p>
        </w:tc>
      </w:tr>
      <w:tr>
        <w:trPr/>
        <w:tc>
          <w:tcPr>
            <w:tcW w:w="4475" w:type="dxa"/>
            <w:tcBorders/>
            <w:shd w:fill="FFFFFF" w:val="clear"/>
            <w:vAlign w:val="center"/>
          </w:tcPr>
          <w:p>
            <w:pPr>
              <w:pStyle w:val="TableContents"/>
              <w:bidi w:val="0"/>
              <w:spacing w:before="0" w:after="283"/>
              <w:jc w:val="left"/>
              <w:rPr/>
            </w:pPr>
            <w:r>
              <w:rPr/>
              <w:t>SPAC Private Placement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2,264,000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0.8</w:t>
            </w:r>
          </w:p>
        </w:tc>
        <w:tc>
          <w:tcPr>
            <w:tcW w:w="275" w:type="dxa"/>
            <w:tcBorders/>
            <w:shd w:fill="FFFFFF" w:val="clear"/>
            <w:vAlign w:val="center"/>
          </w:tcPr>
          <w:p>
            <w:pPr>
              <w:pStyle w:val="TableContents"/>
              <w:bidi w:val="0"/>
              <w:spacing w:before="0" w:after="283"/>
              <w:jc w:val="left"/>
              <w:rPr/>
            </w:pPr>
            <w:r>
              <w:rPr/>
              <w:t>%</w:t>
            </w:r>
          </w:p>
        </w:tc>
      </w:tr>
      <w:tr>
        <w:trPr/>
        <w:tc>
          <w:tcPr>
            <w:tcW w:w="4475" w:type="dxa"/>
            <w:tcBorders/>
            <w:shd w:fill="CCEEFF" w:val="clear"/>
            <w:vAlign w:val="center"/>
          </w:tcPr>
          <w:p>
            <w:pPr>
              <w:pStyle w:val="TableContents"/>
              <w:bidi w:val="0"/>
              <w:spacing w:before="0" w:after="283"/>
              <w:jc w:val="left"/>
              <w:rPr/>
            </w:pPr>
            <w:r>
              <w:rPr/>
              <w:t xml:space="preserve">SPAC Sponsor Shares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7,333,333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CCEEFF" w:val="clear"/>
            <w:tcMar>
              <w:bottom w:w="28" w:type="dxa"/>
            </w:tcMar>
            <w:vAlign w:val="center"/>
          </w:tcPr>
          <w:p>
            <w:pPr>
              <w:pStyle w:val="TableContents"/>
              <w:bidi w:val="0"/>
              <w:spacing w:before="0" w:after="283"/>
              <w:jc w:val="right"/>
              <w:rPr/>
            </w:pPr>
            <w:r>
              <w:rPr/>
              <w:t>2.5</w:t>
            </w:r>
          </w:p>
        </w:tc>
        <w:tc>
          <w:tcPr>
            <w:tcW w:w="275" w:type="dxa"/>
            <w:tcBorders/>
            <w:shd w:fill="CCEEFF" w:val="clear"/>
            <w:vAlign w:val="center"/>
          </w:tcPr>
          <w:p>
            <w:pPr>
              <w:pStyle w:val="TableContents"/>
              <w:bidi w:val="0"/>
              <w:spacing w:before="0" w:after="283"/>
              <w:jc w:val="left"/>
              <w:rPr/>
            </w:pPr>
            <w:r>
              <w:rPr/>
              <w:t>%</w:t>
            </w:r>
          </w:p>
        </w:tc>
      </w:tr>
      <w:tr>
        <w:trPr/>
        <w:tc>
          <w:tcPr>
            <w:tcW w:w="4475" w:type="dxa"/>
            <w:tcBorders/>
            <w:shd w:fill="FFFFFF" w:val="clear"/>
            <w:vAlign w:val="center"/>
          </w:tcPr>
          <w:p>
            <w:pPr>
              <w:pStyle w:val="TableContents"/>
              <w:bidi w:val="0"/>
              <w:spacing w:before="0" w:after="283"/>
              <w:jc w:val="left"/>
              <w:rPr>
                <w:b/>
              </w:rPr>
            </w:pPr>
            <w:r>
              <w:rPr>
                <w:b/>
              </w:rPr>
              <w:t>Total Common Shares by Shareholder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297,993,837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b/>
              </w:rPr>
            </w:pPr>
            <w:r>
              <w:rPr>
                <w:b/>
              </w:rPr>
              <w:t>100.0</w:t>
            </w:r>
          </w:p>
        </w:tc>
        <w:tc>
          <w:tcPr>
            <w:tcW w:w="275" w:type="dxa"/>
            <w:tcBorders/>
            <w:shd w:fill="FFFFFF" w:val="clear"/>
            <w:vAlign w:val="center"/>
          </w:tcPr>
          <w:p>
            <w:pPr>
              <w:pStyle w:val="TableContents"/>
              <w:bidi w:val="0"/>
              <w:spacing w:before="0" w:after="283"/>
              <w:jc w:val="left"/>
              <w:rPr>
                <w:b/>
              </w:rPr>
            </w:pPr>
            <w:r>
              <w:rPr>
                <w:b/>
              </w:rPr>
              <w:t>%</w:t>
            </w:r>
          </w:p>
        </w:tc>
      </w:tr>
      <w:tr>
        <w:trPr/>
        <w:tc>
          <w:tcPr>
            <w:tcW w:w="44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Xanadu Class A Multiple Voting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254,709,401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85.5</w:t>
            </w:r>
          </w:p>
        </w:tc>
        <w:tc>
          <w:tcPr>
            <w:tcW w:w="275" w:type="dxa"/>
            <w:tcBorders/>
            <w:shd w:fill="FFFFFF" w:val="clear"/>
            <w:vAlign w:val="center"/>
          </w:tcPr>
          <w:p>
            <w:pPr>
              <w:pStyle w:val="TableContents"/>
              <w:bidi w:val="0"/>
              <w:spacing w:before="0" w:after="283"/>
              <w:jc w:val="left"/>
              <w:rPr/>
            </w:pPr>
            <w:r>
              <w:rPr/>
              <w:t>%</w:t>
            </w:r>
          </w:p>
        </w:tc>
      </w:tr>
      <w:tr>
        <w:trPr/>
        <w:tc>
          <w:tcPr>
            <w:tcW w:w="4475" w:type="dxa"/>
            <w:tcBorders/>
            <w:shd w:fill="CCEEFF" w:val="clear"/>
            <w:vAlign w:val="center"/>
          </w:tcPr>
          <w:p>
            <w:pPr>
              <w:pStyle w:val="TableContents"/>
              <w:bidi w:val="0"/>
              <w:spacing w:before="0" w:after="283"/>
              <w:jc w:val="left"/>
              <w:rPr/>
            </w:pPr>
            <w:r>
              <w:rPr/>
              <w:t xml:space="preserve">Xanadu Class B Subordinate Voting Shares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43,284,436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CCEEFF" w:val="clear"/>
            <w:tcMar>
              <w:bottom w:w="28" w:type="dxa"/>
            </w:tcMar>
            <w:vAlign w:val="center"/>
          </w:tcPr>
          <w:p>
            <w:pPr>
              <w:pStyle w:val="TableContents"/>
              <w:bidi w:val="0"/>
              <w:spacing w:before="0" w:after="283"/>
              <w:jc w:val="right"/>
              <w:rPr/>
            </w:pPr>
            <w:r>
              <w:rPr/>
              <w:t>14.5</w:t>
            </w:r>
          </w:p>
        </w:tc>
        <w:tc>
          <w:tcPr>
            <w:tcW w:w="275" w:type="dxa"/>
            <w:tcBorders/>
            <w:shd w:fill="CCEEFF" w:val="clear"/>
            <w:vAlign w:val="center"/>
          </w:tcPr>
          <w:p>
            <w:pPr>
              <w:pStyle w:val="TableContents"/>
              <w:bidi w:val="0"/>
              <w:spacing w:before="0" w:after="283"/>
              <w:jc w:val="left"/>
              <w:rPr/>
            </w:pPr>
            <w:r>
              <w:rPr/>
              <w:t>%</w:t>
            </w:r>
          </w:p>
        </w:tc>
      </w:tr>
      <w:tr>
        <w:trPr/>
        <w:tc>
          <w:tcPr>
            <w:tcW w:w="4475" w:type="dxa"/>
            <w:tcBorders/>
            <w:shd w:fill="FFFFFF" w:val="clear"/>
            <w:vAlign w:val="center"/>
          </w:tcPr>
          <w:p>
            <w:pPr>
              <w:pStyle w:val="TableContents"/>
              <w:bidi w:val="0"/>
              <w:spacing w:before="0" w:after="283"/>
              <w:jc w:val="left"/>
              <w:rPr>
                <w:b/>
              </w:rPr>
            </w:pPr>
            <w:r>
              <w:rPr>
                <w:b/>
              </w:rPr>
              <w:t>Total Common Shares by Class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297,993,837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b/>
              </w:rPr>
            </w:pPr>
            <w:r>
              <w:rPr>
                <w:b/>
              </w:rPr>
              <w:t>100.0</w:t>
            </w:r>
          </w:p>
        </w:tc>
        <w:tc>
          <w:tcPr>
            <w:tcW w:w="275"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osition w:val="8"/>
                <w:sz w:val="19"/>
              </w:rPr>
            </w:pPr>
            <w:r>
              <w:rPr>
                <w:position w:val="8"/>
                <w:sz w:val="19"/>
              </w:rPr>
              <w:t>(1)</w:t>
            </w:r>
          </w:p>
        </w:tc>
        <w:tc>
          <w:tcPr>
            <w:tcW w:w="9926" w:type="dxa"/>
            <w:tcBorders/>
            <w:vAlign w:val="center"/>
          </w:tcPr>
          <w:p>
            <w:pPr>
              <w:pStyle w:val="TableContents"/>
              <w:bidi w:val="0"/>
              <w:spacing w:before="0" w:after="283"/>
              <w:jc w:val="both"/>
              <w:rPr/>
            </w:pPr>
            <w:r>
              <w:rPr/>
              <w:t>Includes 1,100,000 Earn-out Shares subject to forfeiture. Refer to the section below for additional information.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on a fully-diluted basis immediately following the Reverse Recapitalization and PIPE investment were:</w:t>
      </w:r>
    </w:p>
    <w:p>
      <w:pPr>
        <w:pStyle w:val="TextBody"/>
        <w:bidi w:val="0"/>
        <w:spacing w:before="0" w:after="0"/>
        <w:ind w:left="0" w:right="0" w:hanging="0"/>
        <w:jc w:val="both"/>
        <w:rPr>
          <w:caps w:val="false"/>
          <w:smallCaps w:val="false"/>
        </w:rPr>
      </w:pPr>
      <w:r>
        <w:rPr>
          <w:caps w:val="false"/>
          <w:smallCaps w:val="false"/>
        </w:rPr>
        <w:t> </w:t>
      </w:r>
    </w:p>
    <w:tbl>
      <w:tblPr>
        <w:tblW w:w="6694" w:type="dxa"/>
        <w:jc w:val="left"/>
        <w:tblInd w:w="0" w:type="dxa"/>
        <w:tblLayout w:type="fixed"/>
        <w:tblCellMar>
          <w:top w:w="0" w:type="dxa"/>
          <w:left w:w="0" w:type="dxa"/>
          <w:bottom w:w="0" w:type="dxa"/>
          <w:right w:w="0" w:type="dxa"/>
        </w:tblCellMar>
      </w:tblPr>
      <w:tblGrid>
        <w:gridCol w:w="3695"/>
        <w:gridCol w:w="60"/>
        <w:gridCol w:w="60"/>
        <w:gridCol w:w="1220"/>
        <w:gridCol w:w="60"/>
        <w:gridCol w:w="60"/>
        <w:gridCol w:w="121"/>
        <w:gridCol w:w="1143"/>
        <w:gridCol w:w="275"/>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Voting</w:t>
            </w:r>
          </w:p>
        </w:tc>
        <w:tc>
          <w:tcPr>
            <w:tcW w:w="275"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Old Xanadu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257,684,899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74.5</w:t>
            </w:r>
          </w:p>
        </w:tc>
        <w:tc>
          <w:tcPr>
            <w:tcW w:w="275" w:type="dxa"/>
            <w:tcBorders/>
            <w:shd w:fill="CCEEFF" w:val="clear"/>
            <w:vAlign w:val="center"/>
          </w:tcPr>
          <w:p>
            <w:pPr>
              <w:pStyle w:val="TableContents"/>
              <w:bidi w:val="0"/>
              <w:spacing w:before="0" w:after="283"/>
              <w:jc w:val="left"/>
              <w:rPr/>
            </w:pPr>
            <w:r>
              <w:rPr/>
              <w:t>%</w:t>
            </w:r>
          </w:p>
        </w:tc>
      </w:tr>
      <w:tr>
        <w:trPr/>
        <w:tc>
          <w:tcPr>
            <w:tcW w:w="3695" w:type="dxa"/>
            <w:tcBorders/>
            <w:shd w:fill="FFFFFF" w:val="clear"/>
            <w:vAlign w:val="center"/>
          </w:tcPr>
          <w:p>
            <w:pPr>
              <w:pStyle w:val="TableContents"/>
              <w:bidi w:val="0"/>
              <w:spacing w:before="0" w:after="283"/>
              <w:jc w:val="left"/>
              <w:rPr/>
            </w:pPr>
            <w:r>
              <w:rPr/>
              <w:t>Old Xanadu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47,360,480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13.7</w:t>
            </w:r>
          </w:p>
        </w:tc>
        <w:tc>
          <w:tcPr>
            <w:tcW w:w="275" w:type="dxa"/>
            <w:tcBorders/>
            <w:shd w:fill="FFFFFF" w:val="clear"/>
            <w:vAlign w:val="center"/>
          </w:tcPr>
          <w:p>
            <w:pPr>
              <w:pStyle w:val="TableContents"/>
              <w:bidi w:val="0"/>
              <w:spacing w:before="0" w:after="283"/>
              <w:jc w:val="left"/>
              <w:rPr/>
            </w:pPr>
            <w:r>
              <w:rPr/>
              <w:t>%</w:t>
            </w:r>
          </w:p>
        </w:tc>
      </w:tr>
      <w:tr>
        <w:trPr/>
        <w:tc>
          <w:tcPr>
            <w:tcW w:w="3695" w:type="dxa"/>
            <w:tcBorders/>
            <w:shd w:fill="CCEEFF" w:val="clear"/>
            <w:vAlign w:val="center"/>
          </w:tcPr>
          <w:p>
            <w:pPr>
              <w:pStyle w:val="TableContents"/>
              <w:bidi w:val="0"/>
              <w:spacing w:before="0" w:after="283"/>
              <w:jc w:val="left"/>
              <w:rPr/>
            </w:pPr>
            <w:r>
              <w:rPr/>
              <w:t>Old Xanadu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677,934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0.2</w:t>
            </w:r>
          </w:p>
        </w:tc>
        <w:tc>
          <w:tcPr>
            <w:tcW w:w="275" w:type="dxa"/>
            <w:tcBorders/>
            <w:shd w:fill="CCEEFF" w:val="clear"/>
            <w:vAlign w:val="center"/>
          </w:tcPr>
          <w:p>
            <w:pPr>
              <w:pStyle w:val="TableContents"/>
              <w:bidi w:val="0"/>
              <w:spacing w:before="0" w:after="283"/>
              <w:jc w:val="left"/>
              <w:rPr/>
            </w:pPr>
            <w:r>
              <w:rPr/>
              <w:t>%</w:t>
            </w:r>
          </w:p>
        </w:tc>
      </w:tr>
      <w:tr>
        <w:trPr/>
        <w:tc>
          <w:tcPr>
            <w:tcW w:w="3695" w:type="dxa"/>
            <w:tcBorders/>
            <w:shd w:fill="FFFFFF" w:val="clear"/>
            <w:vAlign w:val="center"/>
          </w:tcPr>
          <w:p>
            <w:pPr>
              <w:pStyle w:val="TableContents"/>
              <w:bidi w:val="0"/>
              <w:spacing w:before="0" w:after="283"/>
              <w:jc w:val="left"/>
              <w:rPr/>
            </w:pPr>
            <w:r>
              <w:rPr/>
              <w:t>PIPE Investors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27,500,000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7.9</w:t>
            </w:r>
          </w:p>
        </w:tc>
        <w:tc>
          <w:tcPr>
            <w:tcW w:w="275" w:type="dxa"/>
            <w:tcBorders/>
            <w:shd w:fill="FFFFFF" w:val="clear"/>
            <w:vAlign w:val="center"/>
          </w:tcPr>
          <w:p>
            <w:pPr>
              <w:pStyle w:val="TableContents"/>
              <w:bidi w:val="0"/>
              <w:spacing w:before="0" w:after="283"/>
              <w:jc w:val="left"/>
              <w:rPr/>
            </w:pPr>
            <w:r>
              <w:rPr/>
              <w:t>%</w:t>
            </w:r>
          </w:p>
        </w:tc>
      </w:tr>
      <w:tr>
        <w:trPr/>
        <w:tc>
          <w:tcPr>
            <w:tcW w:w="3695" w:type="dxa"/>
            <w:tcBorders/>
            <w:shd w:fill="CCEEFF" w:val="clear"/>
            <w:vAlign w:val="center"/>
          </w:tcPr>
          <w:p>
            <w:pPr>
              <w:pStyle w:val="TableContents"/>
              <w:bidi w:val="0"/>
              <w:spacing w:before="0" w:after="283"/>
              <w:jc w:val="left"/>
              <w:rPr/>
            </w:pPr>
            <w:r>
              <w:rPr/>
              <w:t>SPAC Public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3,211,605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0.9</w:t>
            </w:r>
          </w:p>
        </w:tc>
        <w:tc>
          <w:tcPr>
            <w:tcW w:w="275" w:type="dxa"/>
            <w:tcBorders/>
            <w:shd w:fill="CCEEFF" w:val="clear"/>
            <w:vAlign w:val="center"/>
          </w:tcPr>
          <w:p>
            <w:pPr>
              <w:pStyle w:val="TableContents"/>
              <w:bidi w:val="0"/>
              <w:spacing w:before="0" w:after="283"/>
              <w:jc w:val="left"/>
              <w:rPr/>
            </w:pPr>
            <w:r>
              <w:rPr/>
              <w:t>%</w:t>
            </w:r>
          </w:p>
        </w:tc>
      </w:tr>
      <w:tr>
        <w:trPr/>
        <w:tc>
          <w:tcPr>
            <w:tcW w:w="3695" w:type="dxa"/>
            <w:tcBorders/>
            <w:shd w:fill="FFFFFF" w:val="clear"/>
            <w:vAlign w:val="center"/>
          </w:tcPr>
          <w:p>
            <w:pPr>
              <w:pStyle w:val="TableContents"/>
              <w:bidi w:val="0"/>
              <w:spacing w:before="0" w:after="283"/>
              <w:jc w:val="left"/>
              <w:rPr/>
            </w:pPr>
            <w:r>
              <w:rPr/>
              <w:t>SPAC Private Placement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2,264,000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0.7</w:t>
            </w:r>
          </w:p>
        </w:tc>
        <w:tc>
          <w:tcPr>
            <w:tcW w:w="275" w:type="dxa"/>
            <w:tcBorders/>
            <w:shd w:fill="FFFFFF" w:val="clear"/>
            <w:vAlign w:val="center"/>
          </w:tcPr>
          <w:p>
            <w:pPr>
              <w:pStyle w:val="TableContents"/>
              <w:bidi w:val="0"/>
              <w:spacing w:before="0" w:after="283"/>
              <w:jc w:val="left"/>
              <w:rPr/>
            </w:pPr>
            <w:r>
              <w:rPr/>
              <w:t>%</w:t>
            </w:r>
          </w:p>
        </w:tc>
      </w:tr>
      <w:tr>
        <w:trPr/>
        <w:tc>
          <w:tcPr>
            <w:tcW w:w="3695" w:type="dxa"/>
            <w:tcBorders/>
            <w:shd w:fill="CCEEFF" w:val="clear"/>
            <w:vAlign w:val="center"/>
          </w:tcPr>
          <w:p>
            <w:pPr>
              <w:pStyle w:val="TableContents"/>
              <w:bidi w:val="0"/>
              <w:spacing w:before="0" w:after="283"/>
              <w:jc w:val="left"/>
              <w:rPr/>
            </w:pPr>
            <w:r>
              <w:rPr/>
              <w:t xml:space="preserve">SPAC Sponsor Shares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7,333,333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CCEEFF" w:val="clear"/>
            <w:tcMar>
              <w:bottom w:w="28" w:type="dxa"/>
            </w:tcMar>
            <w:vAlign w:val="center"/>
          </w:tcPr>
          <w:p>
            <w:pPr>
              <w:pStyle w:val="TableContents"/>
              <w:bidi w:val="0"/>
              <w:spacing w:before="0" w:after="283"/>
              <w:jc w:val="right"/>
              <w:rPr/>
            </w:pPr>
            <w:r>
              <w:rPr/>
              <w:t>2.1</w:t>
            </w:r>
          </w:p>
        </w:tc>
        <w:tc>
          <w:tcPr>
            <w:tcW w:w="275" w:type="dxa"/>
            <w:tcBorders/>
            <w:shd w:fill="CCEEFF" w:val="clear"/>
            <w:vAlign w:val="center"/>
          </w:tcPr>
          <w:p>
            <w:pPr>
              <w:pStyle w:val="TableContents"/>
              <w:bidi w:val="0"/>
              <w:spacing w:before="0" w:after="283"/>
              <w:jc w:val="left"/>
              <w:rPr/>
            </w:pPr>
            <w:r>
              <w:rPr/>
              <w:t>%</w:t>
            </w:r>
          </w:p>
        </w:tc>
      </w:tr>
      <w:tr>
        <w:trPr/>
        <w:tc>
          <w:tcPr>
            <w:tcW w:w="3695" w:type="dxa"/>
            <w:tcBorders/>
            <w:shd w:fill="FFFFFF" w:val="clear"/>
            <w:vAlign w:val="center"/>
          </w:tcPr>
          <w:p>
            <w:pPr>
              <w:pStyle w:val="TableContents"/>
              <w:bidi w:val="0"/>
              <w:spacing w:before="0" w:after="283"/>
              <w:jc w:val="left"/>
              <w:rPr>
                <w:b/>
              </w:rPr>
            </w:pPr>
            <w:r>
              <w:rPr>
                <w:b/>
              </w:rPr>
              <w:t>Total Fully Diluted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346,032,251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b/>
              </w:rPr>
            </w:pPr>
            <w:r>
              <w:rPr>
                <w:b/>
              </w:rPr>
              <w:t>100.0</w:t>
            </w:r>
          </w:p>
        </w:tc>
        <w:tc>
          <w:tcPr>
            <w:tcW w:w="275"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osition w:val="8"/>
                <w:sz w:val="19"/>
              </w:rPr>
            </w:pPr>
            <w:r>
              <w:rPr>
                <w:position w:val="8"/>
                <w:sz w:val="19"/>
              </w:rPr>
              <w:t>(1)</w:t>
            </w:r>
          </w:p>
        </w:tc>
        <w:tc>
          <w:tcPr>
            <w:tcW w:w="9926" w:type="dxa"/>
            <w:tcBorders/>
            <w:vAlign w:val="center"/>
          </w:tcPr>
          <w:p>
            <w:pPr>
              <w:pStyle w:val="TableContents"/>
              <w:bidi w:val="0"/>
              <w:spacing w:before="0" w:after="283"/>
              <w:jc w:val="both"/>
              <w:rPr/>
            </w:pPr>
            <w:r>
              <w:rPr/>
              <w:t>Includes 1,100,000 Earn-out Shares subject to forfeiture. Refer to the section below for additional information.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proceeds from the Reverse Recapitalization were $301,646, which includes $275,000 of PIPE financing and $26,646 from SPAC. The Company incurred $52,157 in total costs related to the Reverse Recapitalization and PIPE financing, of which $37,915 were costs directly related to the issuance of shares, of which $1,264 was allocated to the issuance of the earn out shares, and thus expensed to the consolidated statement of operations and comprehensive loss, and the remaining $36,651 was recorded against share capital. These direct transaction costs consist primarily of legal, accounting, advisory, and other professional fees and were deducted from proceeds of the Reverse Recapitalization and PIPE financing, the net of which is recorded in common shares on the consolidated balance sheet. Total indirect and incremental transaction costs resulting from the Reverse Recapitalization were $15,506 of which $5,465 was expensed to the consolidated statement of operations and comprehensive income for three months ended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Recapitalization was accounted for as a reverse recapitalization in accordance with U.S. GAAP. Under this method of accounting, SPAC was treated as the ‘acquired’ company and Old Xanadu was treated as the accounting acquirer for financial reporting purposes. Accordingly, the consolidated financial statements represent the continuation of the financial statements of Old Xanadu, with the Reverse Recapitalization being treated as the equivalent of Xanadu issuing shares for the net assets of SPAC, accompanied by a recapitalization. The net assets of SPAC are stated at historical cost, with no goodwill or other intangible assets recorded. Historical retained earnings (accumulated deficit) was carried forward following completion of the Reverse Recapitalization and the shareholder’s equity of Xanadu is presented based on historical equity of Old Xanadu, recast to reflect that Reverse Recapitalization.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Earn-Out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Reverse Recapitalization, the SPAC Sponsor was the holder of 7,333,333 Class B shares in SPAC (the “SPAC Class B Shares”). Pursuant to the terms of the Plan of Arrangement, the SPAC Class B Shares were exchanged for Xanadu Class B Subordinate Voting Shares. The SPAC Sponsor subjected 1,100,000 Xanadu Class B Subordinate Voting Shares it received in the transactions contemplated by the Reverse Recapitalization, to an earn-out based on the price of the Xanadu Class B Subordinate Voting Shares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at any time during the period following the Closing and expiring on the fourth anniversary of the Closing Date (the “Vesting Term”),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550,000 of the Earn-Out Shares shall be forfeited by the SPAC Sponsor for no consideration if the share price of Xanadu Class B Subordinate Voting Shares is not at least $12.50 per Xanadu Class B Subordinate Voting Shares for 20 trading days within any 30 consecutive trading day period during the Vesting Term, 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550,000 additional Earn-Out Shares shall be forfeited by the SPAC Sponsor for no consideration if the share price of Xanadu Class B Subordinate Voting Shares is not at least $15.00 per Xanadu Class B Subordinate Voting Shares for 20 trading days within any 30 consecutive trading day period during the Vesting Term provided.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Vesting is not subject to any employment conditions of the holder of the Earn-Out Shares. However, in the event of (A) a merger, amalgamation, arrangement, consolidation or other business combination involving Xanadu, (B) a sale of all or substantially all of the assets of Xanadu, or (C) any other transaction or series of related transactions as a result of which the holders of Xanadu Class B Subordinate Voting Shares immediately prior to such transaction cease to own at least a majority of the outstanding Xanadu Class B Subordinate Voting Shares or its successor entity, in any case, during the Vesting Term, then, immediately prior to the consummation of such transaction, any and all Earn-Out Shares shall become fully vested and shall no longer be subject to forfeiture under the Reverse Recapitalization Agreement and sponsor letter agreement entered into on November 3, 2025 between the SPAC Sponsor, SPAC, Old Xanadu and Xanadu.</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Earn-out Shares are classified as liabilities in our consolidated balance sheet as of March 31, 2026 and are re-measured at fair value each period-end through to settlement.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closing of the Reverse Recapitalization, the Earn-out Shares had a fair value of $9,997. As of March 31, 2026, the Earn-out Shares had a fair value of $7,164, with the changes in the fair value between the Closing Date and March 31, 2026 of $2,833 recognized as a gain on fair value of earn-out liabilities within the consolidated statements of operations and comprehensive loss. Additionally, the Company incurred $1,264 in costs related to the issuance of the Earn-out Shares, which was recorded to general and administrative operating expenses on the consolidated statement of operations and comprehensive loss. See Note 11 for additional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none of the triggering events have occurred; however, on May 11, 2026, certain triggering events were achieved, resulting in the vesting of 550,000 shares. Refer to Note 18 for additional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Accounts Receivable, net: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accounts receivable include trade and other receivables as of March 31, 2026 and December 31, 2025:</w:t>
      </w:r>
    </w:p>
    <w:p>
      <w:pPr>
        <w:pStyle w:val="TextBody"/>
        <w:bidi w:val="0"/>
        <w:spacing w:before="0" w:after="0"/>
        <w:ind w:left="0" w:right="0" w:firstLine="360"/>
        <w:jc w:val="left"/>
        <w:rPr>
          <w:caps w:val="false"/>
          <w:smallCaps w:val="false"/>
        </w:rPr>
      </w:pPr>
      <w:r>
        <w:rPr>
          <w:caps w:val="false"/>
          <w:smallCaps w:val="false"/>
        </w:rPr>
        <w:t> </w:t>
      </w:r>
    </w:p>
    <w:tbl>
      <w:tblPr>
        <w:tblW w:w="5220" w:type="dxa"/>
        <w:jc w:val="left"/>
        <w:tblInd w:w="0" w:type="dxa"/>
        <w:tblLayout w:type="fixed"/>
        <w:tblCellMar>
          <w:top w:w="0" w:type="dxa"/>
          <w:left w:w="0" w:type="dxa"/>
          <w:bottom w:w="0" w:type="dxa"/>
          <w:right w:w="0" w:type="dxa"/>
        </w:tblCellMar>
      </w:tblPr>
      <w:tblGrid>
        <w:gridCol w:w="2480"/>
        <w:gridCol w:w="60"/>
        <w:gridCol w:w="214"/>
        <w:gridCol w:w="856"/>
        <w:gridCol w:w="60"/>
        <w:gridCol w:w="60"/>
        <w:gridCol w:w="283"/>
        <w:gridCol w:w="1132"/>
        <w:gridCol w:w="75"/>
      </w:tblGrid>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pPr>
            <w:r>
              <w:rPr/>
              <w:t>Trade receivable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100</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86</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pPr>
            <w:r>
              <w:rPr/>
              <w:t>Grant receivable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5,011</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Contract assets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1,860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1,499</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pPr>
            <w:r>
              <w:rPr/>
              <w:t>Sales tax receivable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1,658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963</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Deferred transaction costs</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1,818</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5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3,673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3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9,477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no allowance for doubtful accounts as of March 31, 2026 and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Prepaid expenses and other current assets: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are comprised of the following as of March 31, 2026 and December 31, 2025:</w:t>
      </w:r>
    </w:p>
    <w:p>
      <w:pPr>
        <w:pStyle w:val="TextBody"/>
        <w:bidi w:val="0"/>
        <w:spacing w:before="0" w:after="0"/>
        <w:ind w:left="0" w:right="0" w:firstLine="360"/>
        <w:jc w:val="both"/>
        <w:rPr>
          <w:caps w:val="false"/>
          <w:smallCaps w:val="false"/>
        </w:rPr>
      </w:pPr>
      <w:r>
        <w:rPr>
          <w:caps w:val="false"/>
          <w:smallCaps w:val="false"/>
        </w:rPr>
        <w:t> </w:t>
      </w:r>
    </w:p>
    <w:tbl>
      <w:tblPr>
        <w:tblW w:w="6720" w:type="dxa"/>
        <w:jc w:val="left"/>
        <w:tblInd w:w="0" w:type="dxa"/>
        <w:tblLayout w:type="fixed"/>
        <w:tblCellMar>
          <w:top w:w="0" w:type="dxa"/>
          <w:left w:w="0" w:type="dxa"/>
          <w:bottom w:w="0" w:type="dxa"/>
          <w:right w:w="0" w:type="dxa"/>
        </w:tblCellMar>
      </w:tblPr>
      <w:tblGrid>
        <w:gridCol w:w="3980"/>
        <w:gridCol w:w="60"/>
        <w:gridCol w:w="214"/>
        <w:gridCol w:w="856"/>
        <w:gridCol w:w="60"/>
        <w:gridCol w:w="60"/>
        <w:gridCol w:w="283"/>
        <w:gridCol w:w="1132"/>
        <w:gridCol w:w="75"/>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Prepaid materials and supplies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4,772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3,675</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Prepaid professional services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154</w:t>
            </w:r>
          </w:p>
        </w:tc>
        <w:tc>
          <w:tcPr>
            <w:tcW w:w="7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Other prepaid expenses and current assets</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6" w:type="dxa"/>
            <w:tcBorders>
              <w:bottom w:val="single" w:sz="12" w:space="0" w:color="000000"/>
            </w:tcBorders>
            <w:shd w:fill="CCEEFF" w:val="clear"/>
            <w:tcMar>
              <w:bottom w:w="28" w:type="dxa"/>
            </w:tcMar>
            <w:vAlign w:val="center"/>
          </w:tcPr>
          <w:p>
            <w:pPr>
              <w:pStyle w:val="TableContents"/>
              <w:bidi w:val="0"/>
              <w:spacing w:before="0" w:after="283"/>
              <w:jc w:val="right"/>
              <w:rPr/>
            </w:pPr>
            <w:r>
              <w:rPr/>
              <w:t>3,309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2,400</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5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8,173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3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6,229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are comprised of the following as of March 31, 2026 and December 31, 2025:</w:t>
      </w:r>
    </w:p>
    <w:p>
      <w:pPr>
        <w:pStyle w:val="TextBody"/>
        <w:bidi w:val="0"/>
        <w:spacing w:before="0" w:after="0"/>
        <w:ind w:left="0" w:right="0" w:firstLine="360"/>
        <w:jc w:val="both"/>
        <w:rPr>
          <w:caps w:val="false"/>
          <w:smallCaps w:val="false"/>
        </w:rPr>
      </w:pPr>
      <w:r>
        <w:rPr>
          <w:caps w:val="false"/>
          <w:smallCaps w:val="false"/>
        </w:rPr>
        <w:t> </w:t>
      </w:r>
    </w:p>
    <w:tbl>
      <w:tblPr>
        <w:tblW w:w="7050" w:type="dxa"/>
        <w:jc w:val="left"/>
        <w:tblInd w:w="0" w:type="dxa"/>
        <w:tblLayout w:type="fixed"/>
        <w:tblCellMar>
          <w:top w:w="0" w:type="dxa"/>
          <w:left w:w="0" w:type="dxa"/>
          <w:bottom w:w="0" w:type="dxa"/>
          <w:right w:w="0" w:type="dxa"/>
        </w:tblCellMar>
      </w:tblPr>
      <w:tblGrid>
        <w:gridCol w:w="4310"/>
        <w:gridCol w:w="60"/>
        <w:gridCol w:w="214"/>
        <w:gridCol w:w="856"/>
        <w:gridCol w:w="60"/>
        <w:gridCol w:w="60"/>
        <w:gridCol w:w="283"/>
        <w:gridCol w:w="1132"/>
        <w:gridCol w:w="75"/>
      </w:tblGrid>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Accrued salaries and other payroll liabilities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305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36</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Accrued professional services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2,383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1,962</w:t>
            </w:r>
          </w:p>
        </w:tc>
        <w:tc>
          <w:tcPr>
            <w:tcW w:w="75"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Other accrued expenses and current liabilities</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6" w:type="dxa"/>
            <w:tcBorders>
              <w:bottom w:val="single" w:sz="12" w:space="0" w:color="000000"/>
            </w:tcBorders>
            <w:shd w:fill="CCEEFF" w:val="clear"/>
            <w:tcMar>
              <w:bottom w:w="28" w:type="dxa"/>
            </w:tcMar>
            <w:vAlign w:val="center"/>
          </w:tcPr>
          <w:p>
            <w:pPr>
              <w:pStyle w:val="TableContents"/>
              <w:bidi w:val="0"/>
              <w:spacing w:before="0" w:after="283"/>
              <w:jc w:val="right"/>
              <w:rPr/>
            </w:pPr>
            <w:r>
              <w:rPr/>
              <w:t>590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193</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5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3,278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3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2,191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other accrued expenses and current liabilities relate to research and development (“R&amp;D”) consumables received by the Company but not yet billed by the suppliers.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Property and Equipment, Net: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consisted of the following as of March 31, 2026 and December 31, 2025:</w:t>
      </w:r>
    </w:p>
    <w:p>
      <w:pPr>
        <w:pStyle w:val="TextBody"/>
        <w:bidi w:val="0"/>
        <w:spacing w:before="0" w:after="0"/>
        <w:ind w:left="0" w:right="0" w:firstLine="360"/>
        <w:jc w:val="left"/>
        <w:rPr>
          <w:caps w:val="false"/>
          <w:smallCaps w:val="false"/>
        </w:rPr>
      </w:pPr>
      <w:r>
        <w:rPr>
          <w:caps w:val="false"/>
          <w:smallCaps w:val="false"/>
        </w:rPr>
        <w:t> </w:t>
      </w:r>
    </w:p>
    <w:tbl>
      <w:tblPr>
        <w:tblW w:w="5874" w:type="dxa"/>
        <w:jc w:val="left"/>
        <w:tblInd w:w="0" w:type="dxa"/>
        <w:tblLayout w:type="fixed"/>
        <w:tblCellMar>
          <w:top w:w="0" w:type="dxa"/>
          <w:left w:w="0" w:type="dxa"/>
          <w:bottom w:w="0" w:type="dxa"/>
          <w:right w:w="0" w:type="dxa"/>
        </w:tblCellMar>
      </w:tblPr>
      <w:tblGrid>
        <w:gridCol w:w="3065"/>
        <w:gridCol w:w="60"/>
        <w:gridCol w:w="167"/>
        <w:gridCol w:w="902"/>
        <w:gridCol w:w="95"/>
        <w:gridCol w:w="60"/>
        <w:gridCol w:w="221"/>
        <w:gridCol w:w="1194"/>
        <w:gridCol w:w="110"/>
      </w:tblGrid>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11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Computer systems and servers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902" w:type="dxa"/>
            <w:tcBorders/>
            <w:shd w:fill="CCEEFF" w:val="clear"/>
            <w:vAlign w:val="center"/>
          </w:tcPr>
          <w:p>
            <w:pPr>
              <w:pStyle w:val="TableContents"/>
              <w:bidi w:val="0"/>
              <w:spacing w:before="0" w:after="283"/>
              <w:jc w:val="right"/>
              <w:rPr/>
            </w:pPr>
            <w:r>
              <w:rPr/>
              <w:t>1,124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1,083</w:t>
            </w:r>
          </w:p>
        </w:tc>
        <w:tc>
          <w:tcPr>
            <w:tcW w:w="11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Test and computer equipment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16,831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16,988</w:t>
            </w:r>
          </w:p>
        </w:tc>
        <w:tc>
          <w:tcPr>
            <w:tcW w:w="11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Lab equipment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9,565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9,604</w:t>
            </w:r>
          </w:p>
        </w:tc>
        <w:tc>
          <w:tcPr>
            <w:tcW w:w="11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Furniture and fixtures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281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286</w:t>
            </w:r>
          </w:p>
        </w:tc>
        <w:tc>
          <w:tcPr>
            <w:tcW w:w="11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2" w:type="dxa"/>
            <w:tcBorders>
              <w:bottom w:val="single" w:sz="12" w:space="0" w:color="000000"/>
            </w:tcBorders>
            <w:shd w:fill="CCEEFF" w:val="clear"/>
            <w:tcMar>
              <w:bottom w:w="28" w:type="dxa"/>
            </w:tcMar>
            <w:vAlign w:val="center"/>
          </w:tcPr>
          <w:p>
            <w:pPr>
              <w:pStyle w:val="TableContents"/>
              <w:bidi w:val="0"/>
              <w:spacing w:before="0" w:after="283"/>
              <w:jc w:val="right"/>
              <w:rPr/>
            </w:pPr>
            <w:r>
              <w:rPr/>
              <w:t>3,576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pPr>
            <w:r>
              <w:rPr/>
              <w:t>3,637</w:t>
            </w:r>
          </w:p>
        </w:tc>
        <w:tc>
          <w:tcPr>
            <w:tcW w:w="11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02" w:type="dxa"/>
            <w:tcBorders>
              <w:bottom w:val="single" w:sz="12" w:space="0" w:color="000000"/>
            </w:tcBorders>
            <w:shd w:fill="FFFFFF" w:val="clear"/>
            <w:tcMar>
              <w:bottom w:w="28" w:type="dxa"/>
            </w:tcMar>
            <w:vAlign w:val="center"/>
          </w:tcPr>
          <w:p>
            <w:pPr>
              <w:pStyle w:val="TableContents"/>
              <w:bidi w:val="0"/>
              <w:spacing w:before="0" w:after="283"/>
              <w:jc w:val="right"/>
              <w:rPr/>
            </w:pPr>
            <w:r>
              <w:rPr/>
              <w:t>31,377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31,598</w:t>
            </w:r>
          </w:p>
        </w:tc>
        <w:tc>
          <w:tcPr>
            <w:tcW w:w="11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2" w:type="dxa"/>
            <w:tcBorders>
              <w:bottom w:val="single" w:sz="12" w:space="0" w:color="000000"/>
            </w:tcBorders>
            <w:shd w:fill="CCEEFF" w:val="clear"/>
            <w:tcMar>
              <w:bottom w:w="28" w:type="dxa"/>
            </w:tcMar>
            <w:vAlign w:val="center"/>
          </w:tcPr>
          <w:p>
            <w:pPr>
              <w:pStyle w:val="TableContents"/>
              <w:bidi w:val="0"/>
              <w:spacing w:before="0" w:after="283"/>
              <w:jc w:val="right"/>
              <w:rPr/>
            </w:pPr>
            <w:r>
              <w:rPr/>
              <w:t>(14,196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pPr>
            <w:r>
              <w:rPr/>
              <w:t>(13,285</w:t>
            </w:r>
          </w:p>
        </w:tc>
        <w:tc>
          <w:tcPr>
            <w:tcW w:w="110" w:type="dxa"/>
            <w:tcBorders/>
            <w:shd w:fill="CCEEFF" w:val="clear"/>
            <w:vAlign w:val="center"/>
          </w:tcPr>
          <w:p>
            <w:pPr>
              <w:pStyle w:val="TableContents"/>
              <w:bidi w:val="0"/>
              <w:spacing w:before="0" w:after="283"/>
              <w:jc w:val="left"/>
              <w:rPr/>
            </w:pPr>
            <w:r>
              <w:rPr/>
              <w:t>)</w:t>
            </w:r>
          </w:p>
        </w:tc>
      </w:tr>
      <w:tr>
        <w:trPr/>
        <w:tc>
          <w:tcPr>
            <w:tcW w:w="3065" w:type="dxa"/>
            <w:tcBorders/>
            <w:shd w:fill="FFFFFF" w:val="clear"/>
            <w:vAlign w:val="center"/>
          </w:tcPr>
          <w:p>
            <w:pPr>
              <w:pStyle w:val="TableContents"/>
              <w:bidi w:val="0"/>
              <w:spacing w:before="0" w:after="283"/>
              <w:jc w:val="left"/>
              <w:rPr>
                <w:b/>
              </w:rPr>
            </w:pPr>
            <w:r>
              <w:rPr>
                <w:b/>
              </w:rPr>
              <w:t>Property and equipment, net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0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17,181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9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18,313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and 2025, the Company recognized depreciation expense of $1,152 and $946 related to property and equipment, respectively.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Intangible Assets, Net: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 consisted of the following as of March 31, 2026 and December 31, 2025:</w:t>
      </w:r>
    </w:p>
    <w:p>
      <w:pPr>
        <w:pStyle w:val="TextBody"/>
        <w:bidi w:val="0"/>
        <w:spacing w:before="0" w:after="0"/>
        <w:ind w:left="0" w:right="0" w:firstLine="360"/>
        <w:jc w:val="left"/>
        <w:rPr>
          <w:caps w:val="false"/>
          <w:smallCaps w:val="false"/>
        </w:rPr>
      </w:pPr>
      <w:r>
        <w:rPr>
          <w:caps w:val="false"/>
          <w:smallCaps w:val="false"/>
        </w:rPr>
        <w:t> </w:t>
      </w:r>
    </w:p>
    <w:tbl>
      <w:tblPr>
        <w:tblW w:w="7139" w:type="dxa"/>
        <w:jc w:val="left"/>
        <w:tblInd w:w="0" w:type="dxa"/>
        <w:tblLayout w:type="fixed"/>
        <w:tblCellMar>
          <w:top w:w="0" w:type="dxa"/>
          <w:left w:w="0" w:type="dxa"/>
          <w:bottom w:w="0" w:type="dxa"/>
          <w:right w:w="0" w:type="dxa"/>
        </w:tblCellMar>
      </w:tblPr>
      <w:tblGrid>
        <w:gridCol w:w="2840"/>
        <w:gridCol w:w="60"/>
        <w:gridCol w:w="140"/>
        <w:gridCol w:w="680"/>
        <w:gridCol w:w="60"/>
        <w:gridCol w:w="60"/>
        <w:gridCol w:w="257"/>
        <w:gridCol w:w="1172"/>
        <w:gridCol w:w="95"/>
        <w:gridCol w:w="60"/>
        <w:gridCol w:w="328"/>
        <w:gridCol w:w="1312"/>
        <w:gridCol w:w="75"/>
      </w:tblGrid>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64"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 March 31, 2026</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Accumulated </w:t>
              <w:b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Net Book Value</w:t>
            </w:r>
          </w:p>
        </w:tc>
        <w:tc>
          <w:tcPr>
            <w:tcW w:w="7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pPr>
            <w:r>
              <w:rPr/>
              <w:t>Patents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2,323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w:t>
            </w:r>
          </w:p>
        </w:tc>
        <w:tc>
          <w:tcPr>
            <w:tcW w:w="1172" w:type="dxa"/>
            <w:tcBorders/>
            <w:shd w:fill="CCEEFF" w:val="clear"/>
            <w:vAlign w:val="center"/>
          </w:tcPr>
          <w:p>
            <w:pPr>
              <w:pStyle w:val="TableContents"/>
              <w:bidi w:val="0"/>
              <w:spacing w:before="0" w:after="283"/>
              <w:jc w:val="right"/>
              <w:rPr/>
            </w:pPr>
            <w:r>
              <w:rPr/>
              <w:t>(1,473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1312" w:type="dxa"/>
            <w:tcBorders/>
            <w:shd w:fill="CCEEFF" w:val="clear"/>
            <w:vAlign w:val="center"/>
          </w:tcPr>
          <w:p>
            <w:pPr>
              <w:pStyle w:val="TableContents"/>
              <w:bidi w:val="0"/>
              <w:spacing w:before="0" w:after="283"/>
              <w:jc w:val="right"/>
              <w:rPr/>
            </w:pPr>
            <w:r>
              <w:rPr/>
              <w:t>850</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Internally developed software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7,565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pPr>
            <w:r>
              <w:rPr/>
              <w:t>(3,632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1312" w:type="dxa"/>
            <w:tcBorders/>
            <w:shd w:fill="FFFFFF" w:val="clear"/>
            <w:vAlign w:val="center"/>
          </w:tcPr>
          <w:p>
            <w:pPr>
              <w:pStyle w:val="TableContents"/>
              <w:bidi w:val="0"/>
              <w:spacing w:before="0" w:after="283"/>
              <w:jc w:val="right"/>
              <w:rPr/>
            </w:pPr>
            <w:r>
              <w:rPr/>
              <w:t>3,933</w:t>
            </w:r>
          </w:p>
        </w:tc>
        <w:tc>
          <w:tcPr>
            <w:tcW w:w="75"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pPr>
            <w:r>
              <w:rPr/>
              <w:t>External software licenses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2" w:type="dxa"/>
            <w:tcBorders>
              <w:bottom w:val="single" w:sz="12" w:space="0" w:color="000000"/>
            </w:tcBorders>
            <w:shd w:fill="CCEEFF" w:val="clear"/>
            <w:tcMar>
              <w:bottom w:w="28" w:type="dxa"/>
            </w:tcMar>
            <w:vAlign w:val="center"/>
          </w:tcPr>
          <w:p>
            <w:pPr>
              <w:pStyle w:val="TableContents"/>
              <w:bidi w:val="0"/>
              <w:spacing w:before="0" w:after="283"/>
              <w:jc w:val="right"/>
              <w:rPr/>
            </w:pPr>
            <w:r>
              <w:rPr/>
              <w:t>(136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2" w:type="dxa"/>
            <w:tcBorders>
              <w:bottom w:val="single" w:sz="12" w:space="0" w:color="000000"/>
            </w:tcBorders>
            <w:shd w:fill="CCEEFF" w:val="clear"/>
            <w:tcMar>
              <w:bottom w:w="28" w:type="dxa"/>
            </w:tcMar>
            <w:vAlign w:val="center"/>
          </w:tcPr>
          <w:p>
            <w:pPr>
              <w:pStyle w:val="TableContents"/>
              <w:bidi w:val="0"/>
              <w:spacing w:before="0" w:after="283"/>
              <w:jc w:val="right"/>
              <w:rPr/>
            </w:pPr>
            <w:r>
              <w:rPr/>
              <w:t>52</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7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(5,241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328"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31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4,835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8583" w:type="dxa"/>
        <w:jc w:val="left"/>
        <w:tblInd w:w="0" w:type="dxa"/>
        <w:tblLayout w:type="fixed"/>
        <w:tblCellMar>
          <w:top w:w="0" w:type="dxa"/>
          <w:left w:w="0" w:type="dxa"/>
          <w:bottom w:w="0" w:type="dxa"/>
          <w:right w:w="0" w:type="dxa"/>
        </w:tblCellMar>
      </w:tblPr>
      <w:tblGrid>
        <w:gridCol w:w="2840"/>
        <w:gridCol w:w="60"/>
        <w:gridCol w:w="145"/>
        <w:gridCol w:w="580"/>
        <w:gridCol w:w="62"/>
        <w:gridCol w:w="62"/>
        <w:gridCol w:w="533"/>
        <w:gridCol w:w="2426"/>
        <w:gridCol w:w="98"/>
        <w:gridCol w:w="62"/>
        <w:gridCol w:w="328"/>
        <w:gridCol w:w="1312"/>
        <w:gridCol w:w="75"/>
      </w:tblGrid>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8"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 December 31, 2025</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Cost</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29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    Amortization</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Net Book Value</w:t>
            </w:r>
          </w:p>
        </w:tc>
        <w:tc>
          <w:tcPr>
            <w:tcW w:w="7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pPr>
            <w:r>
              <w:rPr/>
              <w:t>Patents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2,226</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pPr>
            <w:r>
              <w:rPr/>
              <w:t>$</w:t>
            </w:r>
          </w:p>
        </w:tc>
        <w:tc>
          <w:tcPr>
            <w:tcW w:w="2426" w:type="dxa"/>
            <w:tcBorders/>
            <w:shd w:fill="CCEEFF" w:val="clear"/>
            <w:vAlign w:val="center"/>
          </w:tcPr>
          <w:p>
            <w:pPr>
              <w:pStyle w:val="TableContents"/>
              <w:bidi w:val="0"/>
              <w:spacing w:before="0" w:after="283"/>
              <w:jc w:val="right"/>
              <w:rPr/>
            </w:pPr>
            <w:r>
              <w:rPr/>
              <w:t>(1,383</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1312" w:type="dxa"/>
            <w:tcBorders/>
            <w:shd w:fill="CCEEFF" w:val="clear"/>
            <w:vAlign w:val="center"/>
          </w:tcPr>
          <w:p>
            <w:pPr>
              <w:pStyle w:val="TableContents"/>
              <w:bidi w:val="0"/>
              <w:spacing w:before="0" w:after="283"/>
              <w:jc w:val="right"/>
              <w:rPr/>
            </w:pPr>
            <w:r>
              <w:rPr/>
              <w:t>843</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Internally developed software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pPr>
            <w:r>
              <w:rPr/>
              <w:t>7,586</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left"/>
              <w:rPr/>
            </w:pPr>
            <w:r>
              <w:rPr/>
              <w:t> </w:t>
            </w:r>
          </w:p>
        </w:tc>
        <w:tc>
          <w:tcPr>
            <w:tcW w:w="2426" w:type="dxa"/>
            <w:tcBorders/>
            <w:shd w:fill="FFFFFF" w:val="clear"/>
            <w:vAlign w:val="center"/>
          </w:tcPr>
          <w:p>
            <w:pPr>
              <w:pStyle w:val="TableContents"/>
              <w:bidi w:val="0"/>
              <w:spacing w:before="0" w:after="283"/>
              <w:jc w:val="right"/>
              <w:rPr/>
            </w:pPr>
            <w:r>
              <w:rPr/>
              <w:t>(3,352</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1312" w:type="dxa"/>
            <w:tcBorders/>
            <w:shd w:fill="FFFFFF" w:val="clear"/>
            <w:vAlign w:val="center"/>
          </w:tcPr>
          <w:p>
            <w:pPr>
              <w:pStyle w:val="TableContents"/>
              <w:bidi w:val="0"/>
              <w:spacing w:before="0" w:after="283"/>
              <w:jc w:val="right"/>
              <w:rPr/>
            </w:pPr>
            <w:r>
              <w:rPr/>
              <w:t>4,234</w:t>
            </w:r>
          </w:p>
        </w:tc>
        <w:tc>
          <w:tcPr>
            <w:tcW w:w="75"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pPr>
            <w:r>
              <w:rPr/>
              <w:t>External software licenses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80" w:type="dxa"/>
            <w:tcBorders>
              <w:bottom w:val="single" w:sz="12" w:space="0" w:color="000000"/>
            </w:tcBorders>
            <w:shd w:fill="CCEEFF" w:val="clear"/>
            <w:tcMar>
              <w:bottom w:w="28" w:type="dxa"/>
            </w:tcMar>
            <w:vAlign w:val="center"/>
          </w:tcPr>
          <w:p>
            <w:pPr>
              <w:pStyle w:val="TableContents"/>
              <w:bidi w:val="0"/>
              <w:spacing w:before="0" w:after="283"/>
              <w:jc w:val="right"/>
              <w:rPr/>
            </w:pPr>
            <w:r>
              <w:rPr/>
              <w:t>180</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426" w:type="dxa"/>
            <w:tcBorders>
              <w:bottom w:val="single" w:sz="12" w:space="0" w:color="000000"/>
            </w:tcBorders>
            <w:shd w:fill="CCEEFF" w:val="clear"/>
            <w:tcMar>
              <w:bottom w:w="28" w:type="dxa"/>
            </w:tcMar>
            <w:vAlign w:val="center"/>
          </w:tcPr>
          <w:p>
            <w:pPr>
              <w:pStyle w:val="TableContents"/>
              <w:bidi w:val="0"/>
              <w:spacing w:before="0" w:after="283"/>
              <w:jc w:val="right"/>
              <w:rPr/>
            </w:pPr>
            <w:r>
              <w:rPr/>
              <w:t>(129</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3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2" w:type="dxa"/>
            <w:tcBorders>
              <w:bottom w:val="single" w:sz="12" w:space="0" w:color="000000"/>
            </w:tcBorders>
            <w:shd w:fill="CCEEFF" w:val="clear"/>
            <w:tcMar>
              <w:bottom w:w="28" w:type="dxa"/>
            </w:tcMar>
            <w:vAlign w:val="center"/>
          </w:tcPr>
          <w:p>
            <w:pPr>
              <w:pStyle w:val="TableContents"/>
              <w:bidi w:val="0"/>
              <w:spacing w:before="0" w:after="283"/>
              <w:jc w:val="right"/>
              <w:rPr/>
            </w:pPr>
            <w:r>
              <w:rPr/>
              <w:t>51</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5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9,992</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33"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242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(4,864</w:t>
            </w:r>
          </w:p>
        </w:tc>
        <w:tc>
          <w:tcPr>
            <w:tcW w:w="98" w:type="dxa"/>
            <w:tcBorders/>
            <w:shd w:fill="FFFFFF" w:val="clear"/>
            <w:vAlign w:val="center"/>
          </w:tcPr>
          <w:p>
            <w:pPr>
              <w:pStyle w:val="TableContents"/>
              <w:bidi w:val="0"/>
              <w:spacing w:before="0" w:after="283"/>
              <w:jc w:val="left"/>
              <w:rPr>
                <w:b/>
              </w:rPr>
            </w:pPr>
            <w:r>
              <w:rPr>
                <w:b/>
              </w:rPr>
              <w:t>)</w:t>
            </w:r>
          </w:p>
        </w:tc>
        <w:tc>
          <w:tcPr>
            <w:tcW w:w="62" w:type="dxa"/>
            <w:tcBorders/>
            <w:shd w:fill="FFFFFF" w:val="clear"/>
            <w:vAlign w:val="center"/>
          </w:tcPr>
          <w:p>
            <w:pPr>
              <w:pStyle w:val="TableContents"/>
              <w:bidi w:val="0"/>
              <w:spacing w:before="0" w:after="283"/>
              <w:jc w:val="left"/>
              <w:rPr/>
            </w:pPr>
            <w:r>
              <w:rPr/>
              <w:t> </w:t>
            </w:r>
          </w:p>
        </w:tc>
        <w:tc>
          <w:tcPr>
            <w:tcW w:w="328"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31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5,128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and 2025, the Company recognized amortization expense of $465 and $331 related to intangible assets,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or as otherwise noted)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Long-term debt: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the Company’s long-term debt is comprised of the SIF Loan (as defined below) and the FedDev Loan (as defined below) as follows:</w:t>
      </w:r>
    </w:p>
    <w:p>
      <w:pPr>
        <w:pStyle w:val="TextBody"/>
        <w:bidi w:val="0"/>
        <w:spacing w:before="0" w:after="0"/>
        <w:ind w:left="0" w:right="0" w:firstLine="360"/>
        <w:jc w:val="both"/>
        <w:rPr>
          <w:caps w:val="false"/>
          <w:smallCaps w:val="false"/>
        </w:rPr>
      </w:pPr>
      <w:r>
        <w:rPr>
          <w:caps w:val="false"/>
          <w:smallCaps w:val="false"/>
        </w:rPr>
        <w:t> </w:t>
      </w:r>
    </w:p>
    <w:tbl>
      <w:tblPr>
        <w:tblW w:w="4874" w:type="dxa"/>
        <w:jc w:val="left"/>
        <w:tblInd w:w="0" w:type="dxa"/>
        <w:tblLayout w:type="fixed"/>
        <w:tblCellMar>
          <w:top w:w="0" w:type="dxa"/>
          <w:left w:w="0" w:type="dxa"/>
          <w:bottom w:w="0" w:type="dxa"/>
          <w:right w:w="0" w:type="dxa"/>
        </w:tblCellMar>
      </w:tblPr>
      <w:tblGrid>
        <w:gridCol w:w="2135"/>
        <w:gridCol w:w="60"/>
        <w:gridCol w:w="182"/>
        <w:gridCol w:w="887"/>
        <w:gridCol w:w="60"/>
        <w:gridCol w:w="60"/>
        <w:gridCol w:w="241"/>
        <w:gridCol w:w="1174"/>
        <w:gridCol w:w="75"/>
      </w:tblGrid>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SIF Loan</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27,612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27,536</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FedDev Loan</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pPr>
            <w:r>
              <w:rPr/>
              <w:t>2,421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4" w:type="dxa"/>
            <w:tcBorders>
              <w:bottom w:val="single" w:sz="12" w:space="0" w:color="000000"/>
            </w:tcBorders>
            <w:shd w:fill="FFFFFF" w:val="clear"/>
            <w:tcMar>
              <w:bottom w:w="28" w:type="dxa"/>
            </w:tcMar>
            <w:vAlign w:val="center"/>
          </w:tcPr>
          <w:p>
            <w:pPr>
              <w:pStyle w:val="TableContents"/>
              <w:bidi w:val="0"/>
              <w:spacing w:before="0" w:after="283"/>
              <w:jc w:val="right"/>
              <w:rPr/>
            </w:pPr>
            <w:r>
              <w:rPr/>
              <w:t>2,462</w:t>
            </w:r>
          </w:p>
        </w:tc>
        <w:tc>
          <w:tcPr>
            <w:tcW w:w="75"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b/>
              </w:rPr>
            </w:pPr>
            <w:r>
              <w:rPr>
                <w:b/>
              </w:rPr>
              <w:t>Total long-term debt</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8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30,033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7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29,998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SIF Loan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Strategic Innovation Fund Agreement, by and between Old Xanadu and His Majesty the King in Right of Canada as represented by the Minister of Industry, as amended (the “SIF Loan”), SIF is committed to provide the Company contributions up to C$40,000 contingent on the Company incurring defined eligible expenditures. Contributions from SIF shall be used for the development of photonic-based, fault-tolerant quantum computers, including projects involving the adaptation of research findings for commercial applications, development of current products through the implementation of new or incremental technology, and development of process improvements which reduce the environmental footprint of current production. As of March 31, 2026 and December 31, 2025, the Company has received C$36,000 and C$35,682 in total funding from SIF,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and interest amounts to be repaid under the SIF Loan are determined using a revenue-based formula and are capped at 150% of the principal amount. Repayments are due in up to 20 annual installments, commencing on April 30, 2028. If the total of the 20 revenue-based annual installments is less than the principal amount, any remaining repayment obligation will be forgiven.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SIF Loan includes certain covenants requiring the Company to support high-skilled jobs in Canada, collaborate with Canadian institutions and small and medium-sized Canadian-based enterprises, and invest in R&amp;D within Canada. Repayments of the SIF Loan can also be triggered upon default on loan covenants in the agreement, termination of the agreement, or upon a change of control that has not been approved by the Government of Canada. Old Xanadu determined the Reverse Recapitalization did not constitute a change in control as defined in the SIF Loan and no approvals were required by the Government of Canada. As of March 31, 2026, the Company was in compliance with all events that would trigger default or termination of the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the SIF Loan as a liability on the Company’s consolidated balance sheets in accordance with ASC 470-10-25, </w:t>
      </w:r>
      <w:r>
        <w:rPr>
          <w:rFonts w:ascii="Times New Roman;Times;Serif" w:hAnsi="Times New Roman;Times;Serif"/>
          <w:b w:val="false"/>
          <w:i/>
          <w:caps w:val="false"/>
          <w:smallCaps w:val="false"/>
          <w:sz w:val="20"/>
        </w:rPr>
        <w:t>Sales of Future Revenues</w:t>
      </w:r>
      <w:r>
        <w:rPr>
          <w:rFonts w:ascii="Times New Roman;Times;Serif" w:hAnsi="Times New Roman;Times;Serif"/>
          <w:b w:val="false"/>
          <w:i w:val="false"/>
          <w:caps w:val="false"/>
          <w:smallCaps w:val="false"/>
          <w:sz w:val="20"/>
        </w:rPr>
        <w:t>. The SIF Loan is initially measured at face value and subsequently amortized using the effective interest method, which includes accrued interest expense over the estimated term of the SIF Loan. The amortization schedule is based on projected cash flows derived from the Company’s long-term revenue forecast. Subsequent changes in forecasted cash flows will be accounted for under the retrospective method, which entails a new effective interest rate being computed each period based on the original proceeds received, actual cash flows to date, and the revised estimate of remaining cash flows. The new discount rate is then used to adjust the carrying value of the debt to the present value of the revised cash flows, discounted at the new effective interest rate. The offset is recognized in interest income (expense), net. As the SIF Loan originated through a government program, a market rate of interest is not imputed in accordance with the scope limitations of ASC 835.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the Company determined a weighted average effective interest rate of 4.68% and 4.69%, respectively, based on the most recent revenue projections at each reporting date. During the three months ended March 31, 2026 and 2025, the Company recognized $312 and $198 of interest expense, respectively, related to the SIF Loan, inclusive of foreign exchange, within interest income (expense), net in the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the carrying value of the SIF Loan for the three months ended March 31, 2026:</w:t>
      </w:r>
    </w:p>
    <w:p>
      <w:pPr>
        <w:pStyle w:val="TextBody"/>
        <w:bidi w:val="0"/>
        <w:spacing w:before="0" w:after="0"/>
        <w:ind w:left="0" w:right="0" w:firstLine="360"/>
        <w:jc w:val="both"/>
        <w:rPr>
          <w:caps w:val="false"/>
          <w:smallCaps w:val="false"/>
        </w:rPr>
      </w:pPr>
      <w:r>
        <w:rPr>
          <w:caps w:val="false"/>
          <w:smallCaps w:val="false"/>
        </w:rPr>
        <w:t> </w:t>
      </w:r>
    </w:p>
    <w:tbl>
      <w:tblPr>
        <w:tblW w:w="7490" w:type="dxa"/>
        <w:jc w:val="left"/>
        <w:tblInd w:w="0" w:type="dxa"/>
        <w:tblLayout w:type="fixed"/>
        <w:tblCellMar>
          <w:top w:w="0" w:type="dxa"/>
          <w:left w:w="0" w:type="dxa"/>
          <w:bottom w:w="0" w:type="dxa"/>
          <w:right w:w="0" w:type="dxa"/>
        </w:tblCellMar>
      </w:tblPr>
      <w:tblGrid>
        <w:gridCol w:w="6500"/>
        <w:gridCol w:w="60"/>
        <w:gridCol w:w="140"/>
        <w:gridCol w:w="680"/>
        <w:gridCol w:w="110"/>
      </w:tblGrid>
      <w:tr>
        <w:trPr/>
        <w:tc>
          <w:tcPr>
            <w:tcW w:w="6500" w:type="dxa"/>
            <w:tcBorders/>
            <w:shd w:fill="CCEEFF" w:val="clear"/>
            <w:vAlign w:val="center"/>
          </w:tcPr>
          <w:p>
            <w:pPr>
              <w:pStyle w:val="TableContents"/>
              <w:bidi w:val="0"/>
              <w:spacing w:before="0" w:after="283"/>
              <w:jc w:val="left"/>
              <w:rPr>
                <w:b/>
              </w:rPr>
            </w:pPr>
            <w:r>
              <w:rPr>
                <w:b/>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680" w:type="dxa"/>
            <w:tcBorders/>
            <w:shd w:fill="CCEEFF" w:val="clear"/>
            <w:vAlign w:val="center"/>
          </w:tcPr>
          <w:p>
            <w:pPr>
              <w:pStyle w:val="TableContents"/>
              <w:bidi w:val="0"/>
              <w:spacing w:before="0" w:after="283"/>
              <w:jc w:val="right"/>
              <w:rPr>
                <w:b/>
              </w:rPr>
            </w:pPr>
            <w:r>
              <w:rPr>
                <w:b/>
              </w:rPr>
              <w:t>27,536</w:t>
            </w:r>
          </w:p>
        </w:tc>
        <w:tc>
          <w:tcPr>
            <w:tcW w:w="110" w:type="dxa"/>
            <w:tcBorders/>
            <w:shd w:fill="CCEEFF" w:val="clear"/>
            <w:vAlign w:val="center"/>
          </w:tcPr>
          <w:p>
            <w:pPr>
              <w:pStyle w:val="TableContents"/>
              <w:bidi w:val="0"/>
              <w:spacing w:before="0" w:after="283"/>
              <w:jc w:val="left"/>
              <w:rPr/>
            </w:pPr>
            <w:r>
              <w:rPr/>
              <w:t> </w:t>
            </w:r>
          </w:p>
        </w:tc>
      </w:tr>
      <w:tr>
        <w:trPr/>
        <w:tc>
          <w:tcPr>
            <w:tcW w:w="6500" w:type="dxa"/>
            <w:tcBorders/>
            <w:shd w:fill="FFFFFF" w:val="clear"/>
            <w:vAlign w:val="center"/>
          </w:tcPr>
          <w:p>
            <w:pPr>
              <w:pStyle w:val="TableContents"/>
              <w:bidi w:val="0"/>
              <w:spacing w:before="0" w:after="283"/>
              <w:jc w:val="left"/>
              <w:rPr/>
            </w:pPr>
            <w:r>
              <w:rPr/>
              <w:t>Changes due to foreign exchange rates, net of contributions received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(206</w:t>
            </w:r>
          </w:p>
        </w:tc>
        <w:tc>
          <w:tcPr>
            <w:tcW w:w="110" w:type="dxa"/>
            <w:tcBorders/>
            <w:shd w:fill="FFFFFF" w:val="clear"/>
            <w:vAlign w:val="center"/>
          </w:tcPr>
          <w:p>
            <w:pPr>
              <w:pStyle w:val="TableContents"/>
              <w:bidi w:val="0"/>
              <w:spacing w:before="0" w:after="283"/>
              <w:jc w:val="left"/>
              <w:rPr/>
            </w:pPr>
            <w:r>
              <w:rPr/>
              <w:t>)</w:t>
            </w:r>
          </w:p>
        </w:tc>
      </w:tr>
      <w:tr>
        <w:trPr/>
        <w:tc>
          <w:tcPr>
            <w:tcW w:w="6500" w:type="dxa"/>
            <w:tcBorders/>
            <w:shd w:fill="CCEEFF" w:val="clear"/>
            <w:vAlign w:val="center"/>
          </w:tcPr>
          <w:p>
            <w:pPr>
              <w:pStyle w:val="TableContents"/>
              <w:bidi w:val="0"/>
              <w:spacing w:before="0" w:after="283"/>
              <w:jc w:val="left"/>
              <w:rPr/>
            </w:pPr>
            <w:r>
              <w:rPr/>
              <w:t>Interest expense, net of changes in foreign exchange rates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282</w:t>
            </w:r>
          </w:p>
        </w:tc>
        <w:tc>
          <w:tcPr>
            <w:tcW w:w="110" w:type="dxa"/>
            <w:tcBorders/>
            <w:shd w:fill="CCEEFF" w:val="clear"/>
            <w:vAlign w:val="center"/>
          </w:tcPr>
          <w:p>
            <w:pPr>
              <w:pStyle w:val="TableContents"/>
              <w:bidi w:val="0"/>
              <w:spacing w:before="0" w:after="283"/>
              <w:jc w:val="left"/>
              <w:rPr/>
            </w:pPr>
            <w:r>
              <w:rPr/>
              <w:t> </w:t>
            </w:r>
          </w:p>
        </w:tc>
      </w:tr>
      <w:tr>
        <w:trPr/>
        <w:tc>
          <w:tcPr>
            <w:tcW w:w="6500" w:type="dxa"/>
            <w:tcBorders/>
            <w:shd w:fill="FFFFFF" w:val="clear"/>
            <w:vAlign w:val="center"/>
          </w:tcPr>
          <w:p>
            <w:pPr>
              <w:pStyle w:val="TableContents"/>
              <w:bidi w:val="0"/>
              <w:spacing w:before="0" w:after="283"/>
              <w:jc w:val="left"/>
              <w:rPr>
                <w:b/>
              </w:rPr>
            </w:pPr>
            <w:r>
              <w:rPr>
                <w:b/>
              </w:rPr>
              <w:t>Balance as of March 31, 2026</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27,612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has classified the SIF Loan as non-current as repayments will not commence within the 12 months following the balance sheet date.</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FedDev Loan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regional quantum initiative contribution agreement between Old Xanadu and His Majesty the King in Right of Canada as represented by the Minister of Federal Economic Development Agency for Southern Ontario (the “FedDev Loan”), an aggregate principal amount of C$3,750 is made available to the Company based on the Company’s incurrence of eligible expenditures. Proceeds from the FedDev Loan shall be used to advance and commercialize the Company’s quantum products. The Company had received C$3,375 in gross proceeds from the FedDev Loan at March 31, 2026 and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FedDev Loan is repayable in 60 monthly installments commencing on April 1, 2027. As the FedDev Loan originated through a government program with regulated interest, a market rate of interest is not imputed in accordance with the scope exclusions of ASC 835.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FedDev Loan includes certain event of defaults, including if the Company fails to meet the objectives or milestones outlined in the agreement. Repayment of the FedDev Loan can also be triggered upon default of the agreement. As of March 31, 2026, the Company is not aware of any events that would trigger default of the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the carrying value of the FedDev Loan for the three months ended March 31, 2026:</w:t>
      </w:r>
    </w:p>
    <w:p>
      <w:pPr>
        <w:pStyle w:val="TextBody"/>
        <w:bidi w:val="0"/>
        <w:spacing w:before="0" w:after="0"/>
        <w:ind w:left="0" w:right="0" w:firstLine="360"/>
        <w:jc w:val="left"/>
        <w:rPr>
          <w:caps w:val="false"/>
          <w:smallCaps w:val="false"/>
        </w:rPr>
      </w:pPr>
      <w:r>
        <w:rPr>
          <w:caps w:val="false"/>
          <w:smallCaps w:val="false"/>
        </w:rPr>
        <w:t> </w:t>
      </w:r>
    </w:p>
    <w:tbl>
      <w:tblPr>
        <w:tblW w:w="4565" w:type="dxa"/>
        <w:jc w:val="left"/>
        <w:tblInd w:w="0" w:type="dxa"/>
        <w:tblLayout w:type="fixed"/>
        <w:tblCellMar>
          <w:top w:w="0" w:type="dxa"/>
          <w:left w:w="0" w:type="dxa"/>
          <w:bottom w:w="0" w:type="dxa"/>
          <w:right w:w="0" w:type="dxa"/>
        </w:tblCellMar>
      </w:tblPr>
      <w:tblGrid>
        <w:gridCol w:w="3695"/>
        <w:gridCol w:w="60"/>
        <w:gridCol w:w="140"/>
        <w:gridCol w:w="560"/>
        <w:gridCol w:w="110"/>
      </w:tblGrid>
      <w:tr>
        <w:trPr/>
        <w:tc>
          <w:tcPr>
            <w:tcW w:w="3695" w:type="dxa"/>
            <w:tcBorders/>
            <w:shd w:fill="CCEEFF" w:val="clear"/>
            <w:vAlign w:val="center"/>
          </w:tcPr>
          <w:p>
            <w:pPr>
              <w:pStyle w:val="TableContents"/>
              <w:bidi w:val="0"/>
              <w:spacing w:before="0" w:after="283"/>
              <w:jc w:val="left"/>
              <w:rPr>
                <w:b/>
              </w:rPr>
            </w:pPr>
            <w:r>
              <w:rPr>
                <w:b/>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560" w:type="dxa"/>
            <w:tcBorders/>
            <w:shd w:fill="CCEEFF" w:val="clear"/>
            <w:vAlign w:val="center"/>
          </w:tcPr>
          <w:p>
            <w:pPr>
              <w:pStyle w:val="TableContents"/>
              <w:bidi w:val="0"/>
              <w:spacing w:before="0" w:after="283"/>
              <w:jc w:val="right"/>
              <w:rPr>
                <w:b/>
              </w:rPr>
            </w:pPr>
            <w:r>
              <w:rPr>
                <w:b/>
              </w:rPr>
              <w:t>2,462</w:t>
            </w:r>
          </w:p>
        </w:tc>
        <w:tc>
          <w:tcPr>
            <w:tcW w:w="11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Changes due to foreign exchange rates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(41</w:t>
            </w:r>
          </w:p>
        </w:tc>
        <w:tc>
          <w:tcPr>
            <w:tcW w:w="110" w:type="dxa"/>
            <w:tcBorders/>
            <w:shd w:fill="FFFFFF" w:val="clear"/>
            <w:vAlign w:val="center"/>
          </w:tcPr>
          <w:p>
            <w:pPr>
              <w:pStyle w:val="TableContents"/>
              <w:bidi w:val="0"/>
              <w:spacing w:before="0" w:after="283"/>
              <w:jc w:val="left"/>
              <w:rPr/>
            </w:pPr>
            <w:r>
              <w:rPr/>
              <w:t>)</w:t>
            </w:r>
          </w:p>
        </w:tc>
      </w:tr>
      <w:tr>
        <w:trPr/>
        <w:tc>
          <w:tcPr>
            <w:tcW w:w="3695" w:type="dxa"/>
            <w:tcBorders/>
            <w:shd w:fill="CCEEFF" w:val="clear"/>
            <w:vAlign w:val="center"/>
          </w:tcPr>
          <w:p>
            <w:pPr>
              <w:pStyle w:val="TableContents"/>
              <w:bidi w:val="0"/>
              <w:spacing w:before="0" w:after="283"/>
              <w:jc w:val="left"/>
              <w:rPr>
                <w:b/>
              </w:rPr>
            </w:pPr>
            <w:r>
              <w:rPr>
                <w:b/>
              </w:rPr>
              <w:t>Balance as of March 31,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2,421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contributions were received on the FedDev Loan for the three months ended March 31, 2026. As of March 31, 2026, the Company has classified the FedDev Loan as non-current as repayments will not commence within the 12 months following the balance sheet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Warrant Liabilities: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Company’s warrant liabilities were comprised of the SFTrust Warrants (as defined below) and RBC Warrants (as defined below). The carrying value of the warrant liabilities as of March 31, 2026 and December 31, 2025 are as follows:</w:t>
      </w:r>
    </w:p>
    <w:p>
      <w:pPr>
        <w:pStyle w:val="TextBody"/>
        <w:bidi w:val="0"/>
        <w:spacing w:before="0" w:after="0"/>
        <w:ind w:left="0" w:right="0" w:firstLine="360"/>
        <w:jc w:val="both"/>
        <w:rPr>
          <w:caps w:val="false"/>
          <w:smallCaps w:val="false"/>
        </w:rPr>
      </w:pPr>
      <w:r>
        <w:rPr>
          <w:caps w:val="false"/>
          <w:smallCaps w:val="false"/>
        </w:rPr>
        <w:t> </w:t>
      </w:r>
    </w:p>
    <w:tbl>
      <w:tblPr>
        <w:tblW w:w="7154" w:type="dxa"/>
        <w:jc w:val="left"/>
        <w:tblInd w:w="0" w:type="dxa"/>
        <w:tblLayout w:type="fixed"/>
        <w:tblCellMar>
          <w:top w:w="0" w:type="dxa"/>
          <w:left w:w="0" w:type="dxa"/>
          <w:bottom w:w="0" w:type="dxa"/>
          <w:right w:w="0" w:type="dxa"/>
        </w:tblCellMar>
      </w:tblPr>
      <w:tblGrid>
        <w:gridCol w:w="4415"/>
        <w:gridCol w:w="60"/>
        <w:gridCol w:w="373"/>
        <w:gridCol w:w="696"/>
        <w:gridCol w:w="60"/>
        <w:gridCol w:w="60"/>
        <w:gridCol w:w="283"/>
        <w:gridCol w:w="1132"/>
        <w:gridCol w:w="75"/>
      </w:tblGrid>
      <w:tr>
        <w:trPr/>
        <w:tc>
          <w:tcPr>
            <w:tcW w:w="4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MVS Warrants (previously SFTrust Warrants)</w:t>
            </w:r>
          </w:p>
        </w:tc>
        <w:tc>
          <w:tcPr>
            <w:tcW w:w="6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w:t>
            </w:r>
          </w:p>
        </w:tc>
        <w:tc>
          <w:tcPr>
            <w:tcW w:w="6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915</w:t>
            </w:r>
          </w:p>
        </w:tc>
        <w:tc>
          <w:tcPr>
            <w:tcW w:w="75"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SVS Warrants (previously RBC Warrants)</w:t>
            </w:r>
          </w:p>
        </w:tc>
        <w:tc>
          <w:tcPr>
            <w:tcW w:w="60" w:type="dxa"/>
            <w:tcBorders/>
            <w:shd w:fill="FFFFFF" w:val="clear"/>
            <w:vAlign w:val="center"/>
          </w:tcPr>
          <w:p>
            <w:pPr>
              <w:pStyle w:val="TableContents"/>
              <w:bidi w:val="0"/>
              <w:spacing w:before="0" w:after="283"/>
              <w:jc w:val="left"/>
              <w:rPr/>
            </w:pPr>
            <w:r>
              <w:rPr/>
              <w:t> </w:t>
            </w:r>
          </w:p>
        </w:tc>
        <w:tc>
          <w:tcPr>
            <w:tcW w:w="3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959</w:t>
            </w:r>
          </w:p>
        </w:tc>
        <w:tc>
          <w:tcPr>
            <w:tcW w:w="75"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b/>
              </w:rPr>
            </w:pPr>
            <w:r>
              <w:rPr>
                <w:b/>
              </w:rPr>
              <w:t>Total warrant liabilities</w:t>
            </w:r>
          </w:p>
        </w:tc>
        <w:tc>
          <w:tcPr>
            <w:tcW w:w="60" w:type="dxa"/>
            <w:tcBorders/>
            <w:shd w:fill="CCEEFF" w:val="clear"/>
            <w:vAlign w:val="center"/>
          </w:tcPr>
          <w:p>
            <w:pPr>
              <w:pStyle w:val="TableContents"/>
              <w:bidi w:val="0"/>
              <w:spacing w:before="0" w:after="283"/>
              <w:jc w:val="left"/>
              <w:rPr/>
            </w:pPr>
            <w:r>
              <w:rPr/>
              <w:t> </w:t>
            </w:r>
          </w:p>
        </w:tc>
        <w:tc>
          <w:tcPr>
            <w:tcW w:w="373"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96"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3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1,874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or as otherwise noted)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Company’s warrant liabilities is estimated using a Black-Scholes option pricing model. Inherent in a Black-Scholes option pricing model are assumptions related to the fair value of the underlying common shares, expected stock-price volatility, expected term, risk-free interest rate and dividend yield.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MVS Warrants (previously SFTrust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2018, 34,000 warrants were issued to Silicon Valley Bank (“2018 SFTrust Warrants”). The 2018 SFTrust Warrants were issued with an exercise price of C$0.29 per share and a ten year term from their original issuance. The fair value of the 2018 SFTrust Warrants on their respective grant dates were recognized within additional paid-in capital with an offset to debt issuance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2021 amendment, Silicon Valley Bank was issued warrants to purchase 24,164 voting common shares of Old Xanadu representing 0.1% of the fully diluted shares, post Series B financing in 2021 (“Series B Financing”), per the terms of the Silicon Valley Bank loan agreement, on the same terms and conditions as established for other common shareholders (“2021 SFTrust Warrants”, and together with the 2018 SFTrust Warrants, “SFTrust Warrants”). Half of the 2021 SFTrust Warrants vested immediately upon entering into the amendment with the other half vesting upon the draw of the Silicon Valley Bank term loan (the “SVB Term Loan”) exceeding $5,000. Upon issuance, all 12,082 vested SFTrust Warrants had an exercise price of $1.69 per share and a 12-year term from their original issuance. 12,082 of the SFTrust Warrants have expired because Old Xanadu did not draw more than $5,000 of the SVB Term Loan prior to its full repayment and extinguishment on April 30,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Exchange and Reclassification to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immediately prior to the Reverse Recapitalization on March 26, 2026, there were 46,082 SFTrust Warrants issued and outstanding classified as liabilities on the consolidated balance sheets. Immediately prior to the Reverse Recapitalization, these SFTrust Warrants were exchanged for 519,974 warrants to purchase Xanadu Class A Multiple Voting Shares based on the Exchange Ratio established in the Reverse Recapitalization and a U.S. dollar denominated strike price (“MVS Warrants”). Upon exchange, Xanadu issued MVS warrants exercisable for 383,645 Xanadu Class A Multiple Voting Shares at a price of $0.02 per share and warrants exercisable for 136,329 Class A Multiple Voting Shares at a price of $0.15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and the subsequent dual-listing of the Company’s shares on the Nasdaq and the TSX, the Company re-evaluated the MVS Warrants under ASC 815-40, Contracts in Entity’s Own Equity. Management determined that the MVS Warrants meet the requirements for equity classification as they are now considered indexed to the Company’s own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30, 2026, following the reclassification to equity, the holder of the outstanding MVS Warrants elected to settle the instruments through a cashless net exercise feature. Pursuant to the terms of the warrant agreement, the holder surrendered 2,447 MVS warrants to cover the aggregate exercise price, resulting in the issuance of 517,527 Xanadu Class A Multiple Voting Shares. In connection with this exercise, $1,397 was reclassified from additional paid in capital to share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all MVS Warrants were exercised. As of December 31, 2025, the MVS Warrants had a fair value of $915, which was included as a current liability on the consolidated balance sheets.</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or as otherwise noted)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SVS Warrants (previously RBC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23, 2023, the Company signed a credit agreement with the Royal Bank of Canada (“RBC”) for a maximum principal amount of $25,000 (the “RBC Term Loan”). In connection with the RBC Term Loan, RBC was issued warrants to purchase 13,999 non-voting common shares of the Company on the same terms and conditions as established for other common shareholders (the “RBC Warrants”). The RBC Warrants were issued with an exercise price of $12.94 per share and a 12-year term from their original issuance.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immediately prior to the Reverse Recapitalization on March 26, 2026, there were 13,999 RBC Warrants issued and outstanding. Upon the Closing, these RBC Warrants were exchanged for 157,960 SVS Warrants to purchase Class B Subordinate Voting Shares based on the Exchange Ratio established in the Reverse Recapitalization and a U.S. dollar denominated strike price of $1.15 per share. Under ASC 815-40, as part of the Reverse Recapitalization the Company determined that the SVS Warrants qualify for equity classification. Accordingly, the warrant liability balance was remeasured and subsequently reclassified to additional paid in capital in the first quarter of 2026, with no further remeasurement required.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MVS and SVS Warrants were remeasured to a final fair value as of the reclassification date, resulting in a net loss of $895 recorded within other operating income, net for the three months ended March 31, 2026. Following this final remeasurement, the warrant liability balance of $2,769 was reclassified to additional-paid-in capital, and the warrants are no longer subject to remeasurement.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Fair Value Measurement: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listing of the Company’s assets and liabilities required to be measured at fair value on a recurring basis and where they are classified within the fair value hierarchy as of March 31, 2026 and December 31, 2025:</w:t>
      </w:r>
    </w:p>
    <w:p>
      <w:pPr>
        <w:pStyle w:val="TextBody"/>
        <w:bidi w:val="0"/>
        <w:spacing w:before="0" w:after="0"/>
        <w:ind w:left="0" w:right="0" w:firstLine="360"/>
        <w:jc w:val="both"/>
        <w:rPr>
          <w:caps w:val="false"/>
          <w:smallCaps w:val="false"/>
        </w:rPr>
      </w:pPr>
      <w:r>
        <w:rPr>
          <w:caps w:val="false"/>
          <w:smallCaps w:val="false"/>
        </w:rPr>
        <w:t> </w:t>
      </w:r>
    </w:p>
    <w:tbl>
      <w:tblPr>
        <w:tblW w:w="7515" w:type="dxa"/>
        <w:jc w:val="left"/>
        <w:tblInd w:w="0" w:type="dxa"/>
        <w:tblLayout w:type="fixed"/>
        <w:tblCellMar>
          <w:top w:w="0" w:type="dxa"/>
          <w:left w:w="0" w:type="dxa"/>
          <w:bottom w:w="0" w:type="dxa"/>
          <w:right w:w="0" w:type="dxa"/>
        </w:tblCellMar>
      </w:tblPr>
      <w:tblGrid>
        <w:gridCol w:w="3230"/>
        <w:gridCol w:w="60"/>
        <w:gridCol w:w="140"/>
        <w:gridCol w:w="680"/>
        <w:gridCol w:w="60"/>
        <w:gridCol w:w="60"/>
        <w:gridCol w:w="174"/>
        <w:gridCol w:w="850"/>
        <w:gridCol w:w="60"/>
        <w:gridCol w:w="60"/>
        <w:gridCol w:w="155"/>
        <w:gridCol w:w="755"/>
        <w:gridCol w:w="66"/>
        <w:gridCol w:w="66"/>
        <w:gridCol w:w="174"/>
        <w:gridCol w:w="850"/>
        <w:gridCol w:w="75"/>
      </w:tblGrid>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Fair </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Carrying </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Fair </w:t>
              <w:br/>
              <w:t>value</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Carrying </w:t>
              <w:br/>
              <w:t>amount</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Warrant liabilities – Level 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8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1,874</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850" w:type="dxa"/>
            <w:tcBorders/>
            <w:shd w:fill="CCEEFF" w:val="clear"/>
            <w:vAlign w:val="center"/>
          </w:tcPr>
          <w:p>
            <w:pPr>
              <w:pStyle w:val="TableContents"/>
              <w:bidi w:val="0"/>
              <w:spacing w:before="0" w:after="283"/>
              <w:jc w:val="right"/>
              <w:rPr/>
            </w:pPr>
            <w:r>
              <w:rPr/>
              <w:t>1,874</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Earn-out share liabilities - Level 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7,164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7,164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SIF Loan – Level 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23,493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27,612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23,609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27,536</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FedDev Loan – Level 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2,421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2,421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2,462</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2,462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change in fair value of the Company’s warrant and earn-out share liabilities for the three months ended March 31, 2026:</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88"/>
        <w:gridCol w:w="60"/>
        <w:gridCol w:w="280"/>
        <w:gridCol w:w="1273"/>
        <w:gridCol w:w="95"/>
        <w:gridCol w:w="60"/>
        <w:gridCol w:w="362"/>
        <w:gridCol w:w="1645"/>
        <w:gridCol w:w="95"/>
        <w:gridCol w:w="60"/>
        <w:gridCol w:w="140"/>
        <w:gridCol w:w="635"/>
        <w:gridCol w:w="112"/>
      </w:tblGrid>
      <w:tr>
        <w:trPr/>
        <w:tc>
          <w:tcPr>
            <w:tcW w:w="53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Warrant Liability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Earn out Share Liability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2" w:type="dxa"/>
            <w:tcBorders/>
            <w:vAlign w:val="center"/>
          </w:tcPr>
          <w:p>
            <w:pPr>
              <w:pStyle w:val="TableContents"/>
              <w:bidi w:val="0"/>
              <w:spacing w:before="0" w:after="283"/>
              <w:jc w:val="left"/>
              <w:rPr/>
            </w:pPr>
            <w:r>
              <w:rPr/>
              <w:t> </w:t>
            </w:r>
          </w:p>
        </w:tc>
      </w:tr>
      <w:tr>
        <w:trPr/>
        <w:tc>
          <w:tcPr>
            <w:tcW w:w="5388" w:type="dxa"/>
            <w:tcBorders/>
            <w:shd w:fill="CCEEFF" w:val="clear"/>
            <w:vAlign w:val="center"/>
          </w:tcPr>
          <w:p>
            <w:pPr>
              <w:pStyle w:val="TableContents"/>
              <w:bidi w:val="0"/>
              <w:spacing w:before="0" w:after="283"/>
              <w:jc w:val="left"/>
              <w:rPr>
                <w:b/>
              </w:rPr>
            </w:pPr>
            <w:r>
              <w:rPr>
                <w:b/>
              </w:rPr>
              <w:t>Fair value as of December 31, 2025</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w:t>
            </w:r>
          </w:p>
        </w:tc>
        <w:tc>
          <w:tcPr>
            <w:tcW w:w="1273" w:type="dxa"/>
            <w:tcBorders/>
            <w:shd w:fill="CCEEFF" w:val="clear"/>
            <w:vAlign w:val="center"/>
          </w:tcPr>
          <w:p>
            <w:pPr>
              <w:pStyle w:val="TableContents"/>
              <w:bidi w:val="0"/>
              <w:spacing w:before="0" w:after="283"/>
              <w:jc w:val="right"/>
              <w:rPr/>
            </w:pPr>
            <w:r>
              <w:rPr/>
              <w:t>1,874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w:t>
            </w:r>
          </w:p>
        </w:tc>
        <w:tc>
          <w:tcPr>
            <w:tcW w:w="164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1,874</w:t>
            </w:r>
          </w:p>
        </w:tc>
        <w:tc>
          <w:tcPr>
            <w:tcW w:w="112" w:type="dxa"/>
            <w:tcBorders/>
            <w:shd w:fill="CCEEFF" w:val="clear"/>
            <w:vAlign w:val="center"/>
          </w:tcPr>
          <w:p>
            <w:pPr>
              <w:pStyle w:val="TableContents"/>
              <w:bidi w:val="0"/>
              <w:spacing w:before="0" w:after="283"/>
              <w:jc w:val="left"/>
              <w:rPr/>
            </w:pPr>
            <w:r>
              <w:rPr/>
              <w:t> </w:t>
            </w:r>
          </w:p>
        </w:tc>
      </w:tr>
      <w:tr>
        <w:trPr/>
        <w:tc>
          <w:tcPr>
            <w:tcW w:w="5388" w:type="dxa"/>
            <w:tcBorders/>
            <w:shd w:fill="FFFFFF" w:val="clear"/>
            <w:vAlign w:val="center"/>
          </w:tcPr>
          <w:p>
            <w:pPr>
              <w:pStyle w:val="TableContents"/>
              <w:bidi w:val="0"/>
              <w:spacing w:before="0" w:after="283"/>
              <w:jc w:val="left"/>
              <w:rPr/>
            </w:pPr>
            <w:r>
              <w:rPr/>
              <w:t>Establishment of earn out share liabilities</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c>
          <w:tcPr>
            <w:tcW w:w="1645" w:type="dxa"/>
            <w:tcBorders/>
            <w:shd w:fill="FFFFFF" w:val="clear"/>
            <w:vAlign w:val="center"/>
          </w:tcPr>
          <w:p>
            <w:pPr>
              <w:pStyle w:val="TableContents"/>
              <w:bidi w:val="0"/>
              <w:spacing w:before="0" w:after="283"/>
              <w:jc w:val="right"/>
              <w:rPr/>
            </w:pPr>
            <w:r>
              <w:rPr/>
              <w:t>9,997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9,997</w:t>
            </w:r>
          </w:p>
        </w:tc>
        <w:tc>
          <w:tcPr>
            <w:tcW w:w="112" w:type="dxa"/>
            <w:tcBorders/>
            <w:shd w:fill="FFFFFF" w:val="clear"/>
            <w:vAlign w:val="center"/>
          </w:tcPr>
          <w:p>
            <w:pPr>
              <w:pStyle w:val="TableContents"/>
              <w:bidi w:val="0"/>
              <w:spacing w:before="0" w:after="283"/>
              <w:jc w:val="left"/>
              <w:rPr/>
            </w:pPr>
            <w:r>
              <w:rPr/>
              <w:t> </w:t>
            </w:r>
          </w:p>
        </w:tc>
      </w:tr>
      <w:tr>
        <w:trPr/>
        <w:tc>
          <w:tcPr>
            <w:tcW w:w="5388" w:type="dxa"/>
            <w:tcBorders/>
            <w:shd w:fill="CCEEFF" w:val="clear"/>
            <w:vAlign w:val="center"/>
          </w:tcPr>
          <w:p>
            <w:pPr>
              <w:pStyle w:val="TableContents"/>
              <w:bidi w:val="0"/>
              <w:spacing w:before="0" w:after="283"/>
              <w:jc w:val="left"/>
              <w:rPr/>
            </w:pPr>
            <w:r>
              <w:rPr/>
              <w:t xml:space="preserve">Change in estimated fair value, net of changes in foreign exchange rates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895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 </w:t>
            </w:r>
          </w:p>
        </w:tc>
        <w:tc>
          <w:tcPr>
            <w:tcW w:w="1645" w:type="dxa"/>
            <w:tcBorders/>
            <w:shd w:fill="CCEEFF" w:val="clear"/>
            <w:vAlign w:val="center"/>
          </w:tcPr>
          <w:p>
            <w:pPr>
              <w:pStyle w:val="TableContents"/>
              <w:bidi w:val="0"/>
              <w:spacing w:before="0" w:after="283"/>
              <w:jc w:val="right"/>
              <w:rPr/>
            </w:pPr>
            <w:r>
              <w:rPr/>
              <w:t>(2,833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(1,938</w:t>
            </w:r>
          </w:p>
        </w:tc>
        <w:tc>
          <w:tcPr>
            <w:tcW w:w="112" w:type="dxa"/>
            <w:tcBorders/>
            <w:shd w:fill="CCEEFF" w:val="clear"/>
            <w:vAlign w:val="center"/>
          </w:tcPr>
          <w:p>
            <w:pPr>
              <w:pStyle w:val="TableContents"/>
              <w:bidi w:val="0"/>
              <w:spacing w:before="0" w:after="283"/>
              <w:jc w:val="left"/>
              <w:rPr/>
            </w:pPr>
            <w:r>
              <w:rPr/>
              <w:t>)</w:t>
            </w:r>
          </w:p>
        </w:tc>
      </w:tr>
      <w:tr>
        <w:trPr/>
        <w:tc>
          <w:tcPr>
            <w:tcW w:w="5388" w:type="dxa"/>
            <w:tcBorders/>
            <w:shd w:fill="FFFFFF" w:val="clear"/>
            <w:vAlign w:val="center"/>
          </w:tcPr>
          <w:p>
            <w:pPr>
              <w:pStyle w:val="TableContents"/>
              <w:bidi w:val="0"/>
              <w:spacing w:before="0" w:after="283"/>
              <w:jc w:val="left"/>
              <w:rPr/>
            </w:pPr>
            <w:r>
              <w:rPr/>
              <w:t>Reclassification of warrant liability to equity</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3" w:type="dxa"/>
            <w:tcBorders>
              <w:bottom w:val="single" w:sz="12" w:space="0" w:color="000000"/>
            </w:tcBorders>
            <w:shd w:fill="FFFFFF" w:val="clear"/>
            <w:tcMar>
              <w:bottom w:w="28" w:type="dxa"/>
            </w:tcMar>
            <w:vAlign w:val="center"/>
          </w:tcPr>
          <w:p>
            <w:pPr>
              <w:pStyle w:val="TableContents"/>
              <w:bidi w:val="0"/>
              <w:spacing w:before="0" w:after="283"/>
              <w:jc w:val="right"/>
              <w:rPr/>
            </w:pPr>
            <w:r>
              <w:rPr/>
              <w:t>(2,769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4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(2,769</w:t>
            </w:r>
          </w:p>
        </w:tc>
        <w:tc>
          <w:tcPr>
            <w:tcW w:w="112" w:type="dxa"/>
            <w:tcBorders/>
            <w:shd w:fill="FFFFFF" w:val="clear"/>
            <w:vAlign w:val="center"/>
          </w:tcPr>
          <w:p>
            <w:pPr>
              <w:pStyle w:val="TableContents"/>
              <w:bidi w:val="0"/>
              <w:spacing w:before="0" w:after="283"/>
              <w:jc w:val="left"/>
              <w:rPr/>
            </w:pPr>
            <w:r>
              <w:rPr/>
              <w:t>)</w:t>
            </w:r>
          </w:p>
        </w:tc>
      </w:tr>
      <w:tr>
        <w:trPr/>
        <w:tc>
          <w:tcPr>
            <w:tcW w:w="5388" w:type="dxa"/>
            <w:tcBorders/>
            <w:shd w:fill="CCEEFF" w:val="clear"/>
            <w:vAlign w:val="center"/>
          </w:tcPr>
          <w:p>
            <w:pPr>
              <w:pStyle w:val="TableContents"/>
              <w:bidi w:val="0"/>
              <w:spacing w:before="0" w:after="283"/>
              <w:jc w:val="left"/>
              <w:rPr>
                <w:b/>
              </w:rPr>
            </w:pPr>
            <w:r>
              <w:rPr>
                <w:b/>
              </w:rPr>
              <w:t>Fair value as of March 31, 2026</w:t>
            </w:r>
          </w:p>
        </w:tc>
        <w:tc>
          <w:tcPr>
            <w:tcW w:w="60" w:type="dxa"/>
            <w:tcBorders/>
            <w:shd w:fill="CCEEFF" w:val="clear"/>
            <w:vAlign w:val="center"/>
          </w:tcPr>
          <w:p>
            <w:pPr>
              <w:pStyle w:val="TableContents"/>
              <w:bidi w:val="0"/>
              <w:spacing w:before="0" w:after="283"/>
              <w:jc w:val="left"/>
              <w:rPr/>
            </w:pPr>
            <w:r>
              <w:rPr/>
              <w:t> </w:t>
            </w:r>
          </w:p>
        </w:tc>
        <w:tc>
          <w:tcPr>
            <w:tcW w:w="28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73"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64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7,164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7,164</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osition w:val="8"/>
                <w:sz w:val="19"/>
              </w:rPr>
            </w:pPr>
            <w:r>
              <w:rPr>
                <w:position w:val="8"/>
                <w:sz w:val="19"/>
              </w:rPr>
              <w:t>(1)</w:t>
            </w:r>
          </w:p>
        </w:tc>
        <w:tc>
          <w:tcPr>
            <w:tcW w:w="9961" w:type="dxa"/>
            <w:tcBorders/>
            <w:vAlign w:val="center"/>
          </w:tcPr>
          <w:p>
            <w:pPr>
              <w:pStyle w:val="TableContents"/>
              <w:bidi w:val="0"/>
              <w:spacing w:before="0" w:after="283"/>
              <w:jc w:val="both"/>
              <w:rPr/>
            </w:pPr>
            <w:r>
              <w:rPr/>
              <w:t>Changes in fair value of warrant liabilities have been recognized within other operating income, net and changes in earn-out liabilities have been recognized in gain on fair value of earn-out share liabilities in the consolidated statements of operations and comprehensive loss.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or as otherwise noted)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Company’s long-term debt, including the SIF Loan and FedDev Loan, are estimated based on discounting future cash flows at currently available interest rates with comparable terms. The fair value measurement of the SIF Loan is considered a Level 3 valuation as it is based on a significant unobservable input related to the projected timing and amount of future revenues which determine expected future repayments.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Valuation of the Earn out Share Liability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valued the earn out share liability using a Monte Carlo simulation which includes Level 3 unobservable inputs on the initial valuation date (March 26, 2026) and March 31, 2026. The following table summarizes the significant inputs:</w:t>
      </w:r>
    </w:p>
    <w:p>
      <w:pPr>
        <w:pStyle w:val="TextBody"/>
        <w:bidi w:val="0"/>
        <w:spacing w:before="0" w:after="0"/>
        <w:ind w:left="0" w:right="0" w:firstLine="360"/>
        <w:jc w:val="both"/>
        <w:rPr>
          <w:caps w:val="false"/>
          <w:smallCaps w:val="false"/>
        </w:rPr>
      </w:pPr>
      <w:r>
        <w:rPr>
          <w:caps w:val="false"/>
          <w:smallCaps w:val="false"/>
        </w:rPr>
        <w:t> </w:t>
      </w:r>
    </w:p>
    <w:tbl>
      <w:tblPr>
        <w:tblW w:w="6279" w:type="dxa"/>
        <w:jc w:val="left"/>
        <w:tblInd w:w="0" w:type="dxa"/>
        <w:tblLayout w:type="fixed"/>
        <w:tblCellMar>
          <w:top w:w="0" w:type="dxa"/>
          <w:left w:w="0" w:type="dxa"/>
          <w:bottom w:w="0" w:type="dxa"/>
          <w:right w:w="0" w:type="dxa"/>
        </w:tblCellMar>
      </w:tblPr>
      <w:tblGrid>
        <w:gridCol w:w="2495"/>
        <w:gridCol w:w="60"/>
        <w:gridCol w:w="322"/>
        <w:gridCol w:w="1288"/>
        <w:gridCol w:w="215"/>
        <w:gridCol w:w="60"/>
        <w:gridCol w:w="387"/>
        <w:gridCol w:w="1222"/>
        <w:gridCol w:w="230"/>
      </w:tblGrid>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9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230"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26, 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 2026</w:t>
            </w:r>
          </w:p>
        </w:tc>
        <w:tc>
          <w:tcPr>
            <w:tcW w:w="230"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pPr>
            <w:r>
              <w:rPr/>
              <w:t>Share Price</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1288" w:type="dxa"/>
            <w:tcBorders/>
            <w:shd w:fill="CCEEFF" w:val="clear"/>
            <w:vAlign w:val="center"/>
          </w:tcPr>
          <w:p>
            <w:pPr>
              <w:pStyle w:val="TableContents"/>
              <w:bidi w:val="0"/>
              <w:spacing w:before="0" w:after="283"/>
              <w:jc w:val="right"/>
              <w:rPr/>
            </w:pPr>
            <w:r>
              <w:rPr/>
              <w:t>10.00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jc w:val="left"/>
              <w:rPr/>
            </w:pPr>
            <w:r>
              <w:rPr/>
              <w:t>$</w:t>
            </w:r>
          </w:p>
        </w:tc>
        <w:tc>
          <w:tcPr>
            <w:tcW w:w="1222" w:type="dxa"/>
            <w:tcBorders/>
            <w:shd w:fill="CCEEFF" w:val="clear"/>
            <w:vAlign w:val="center"/>
          </w:tcPr>
          <w:p>
            <w:pPr>
              <w:pStyle w:val="TableContents"/>
              <w:bidi w:val="0"/>
              <w:spacing w:before="0" w:after="283"/>
              <w:jc w:val="right"/>
              <w:rPr/>
            </w:pPr>
            <w:r>
              <w:rPr/>
              <w:t>7.66</w:t>
            </w:r>
          </w:p>
        </w:tc>
        <w:tc>
          <w:tcPr>
            <w:tcW w:w="230"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pPr>
            <w:r>
              <w:rPr/>
              <w:t>Expected Volatility</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80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80</w:t>
            </w:r>
          </w:p>
        </w:tc>
        <w:tc>
          <w:tcPr>
            <w:tcW w:w="230" w:type="dxa"/>
            <w:tcBorders/>
            <w:shd w:fill="FFFFFF" w:val="clear"/>
            <w:vAlign w:val="center"/>
          </w:tcPr>
          <w:p>
            <w:pPr>
              <w:pStyle w:val="TableContents"/>
              <w:bidi w:val="0"/>
              <w:spacing w:before="0" w:after="283"/>
              <w:jc w:val="left"/>
              <w:rPr/>
            </w:pPr>
            <w:r>
              <w:rPr/>
              <w:t>%</w:t>
            </w:r>
          </w:p>
        </w:tc>
      </w:tr>
      <w:tr>
        <w:trPr/>
        <w:tc>
          <w:tcPr>
            <w:tcW w:w="2495"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4.00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3.83</w:t>
            </w:r>
          </w:p>
        </w:tc>
        <w:tc>
          <w:tcPr>
            <w:tcW w:w="230" w:type="dxa"/>
            <w:tcBorders/>
            <w:shd w:fill="CCEEFF" w:val="clear"/>
            <w:vAlign w:val="center"/>
          </w:tcPr>
          <w:p>
            <w:pPr>
              <w:pStyle w:val="TableContents"/>
              <w:bidi w:val="0"/>
              <w:spacing w:before="0" w:after="283"/>
              <w:jc w:val="left"/>
              <w:rPr/>
            </w:pPr>
            <w:r>
              <w:rPr/>
              <w:t>%</w:t>
            </w:r>
          </w:p>
        </w:tc>
      </w:tr>
      <w:tr>
        <w:trPr/>
        <w:tc>
          <w:tcPr>
            <w:tcW w:w="2495" w:type="dxa"/>
            <w:tcBorders/>
            <w:shd w:fill="FFFFFF" w:val="clear"/>
            <w:vAlign w:val="center"/>
          </w:tcPr>
          <w:p>
            <w:pPr>
              <w:pStyle w:val="TableContents"/>
              <w:bidi w:val="0"/>
              <w:spacing w:before="0" w:after="283"/>
              <w:jc w:val="left"/>
              <w:rPr/>
            </w:pPr>
            <w:r>
              <w:rPr/>
              <w:t>Remaining term (in years)</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4.00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3.99</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Revenue Recognition: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Disaggregation of revenue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disaggregated by revenue source is as follows for the three months ended March 31, 2026 and 2025:</w:t>
      </w:r>
    </w:p>
    <w:p>
      <w:pPr>
        <w:pStyle w:val="TextBody"/>
        <w:bidi w:val="0"/>
        <w:spacing w:before="0" w:after="0"/>
        <w:ind w:left="0" w:right="0" w:firstLine="360"/>
        <w:jc w:val="both"/>
        <w:rPr>
          <w:caps w:val="false"/>
          <w:smallCaps w:val="false"/>
        </w:rPr>
      </w:pPr>
      <w:r>
        <w:rPr>
          <w:caps w:val="false"/>
          <w:smallCaps w:val="false"/>
        </w:rPr>
        <w:t> </w:t>
      </w:r>
    </w:p>
    <w:tbl>
      <w:tblPr>
        <w:tblW w:w="4972" w:type="dxa"/>
        <w:jc w:val="left"/>
        <w:tblInd w:w="0" w:type="dxa"/>
        <w:tblLayout w:type="fixed"/>
        <w:tblCellMar>
          <w:top w:w="0" w:type="dxa"/>
          <w:left w:w="0" w:type="dxa"/>
          <w:bottom w:w="0" w:type="dxa"/>
          <w:right w:w="0" w:type="dxa"/>
        </w:tblCellMar>
      </w:tblPr>
      <w:tblGrid>
        <w:gridCol w:w="2660"/>
        <w:gridCol w:w="60"/>
        <w:gridCol w:w="227"/>
        <w:gridCol w:w="911"/>
        <w:gridCol w:w="97"/>
        <w:gridCol w:w="97"/>
        <w:gridCol w:w="227"/>
        <w:gridCol w:w="618"/>
        <w:gridCol w:w="75"/>
      </w:tblGrid>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March 31,</w:t>
            </w:r>
          </w:p>
        </w:tc>
        <w:tc>
          <w:tcPr>
            <w:tcW w:w="75"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pPr>
            <w:r>
              <w:rPr/>
              <w:t>Professional services</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911" w:type="dxa"/>
            <w:tcBorders/>
            <w:shd w:fill="CCEEFF" w:val="clear"/>
            <w:vAlign w:val="center"/>
          </w:tcPr>
          <w:p>
            <w:pPr>
              <w:pStyle w:val="TableContents"/>
              <w:bidi w:val="0"/>
              <w:spacing w:before="0" w:after="283"/>
              <w:jc w:val="right"/>
              <w:rPr/>
            </w:pPr>
            <w:r>
              <w:rPr/>
              <w:t>2,832</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618" w:type="dxa"/>
            <w:tcBorders/>
            <w:shd w:fill="CCEEFF" w:val="clear"/>
            <w:vAlign w:val="center"/>
          </w:tcPr>
          <w:p>
            <w:pPr>
              <w:pStyle w:val="TableContents"/>
              <w:bidi w:val="0"/>
              <w:spacing w:before="0" w:after="283"/>
              <w:jc w:val="right"/>
              <w:rPr/>
            </w:pPr>
            <w:r>
              <w:rPr/>
              <w:t>532</w:t>
            </w:r>
          </w:p>
        </w:tc>
        <w:tc>
          <w:tcPr>
            <w:tcW w:w="75"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pPr>
            <w:r>
              <w:rPr/>
              <w:t>Compute and other services</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18" w:type="dxa"/>
            <w:tcBorders>
              <w:bottom w:val="single" w:sz="12" w:space="0" w:color="000000"/>
            </w:tcBorders>
            <w:shd w:fill="FFFFFF" w:val="clear"/>
            <w:tcMar>
              <w:bottom w:w="28" w:type="dxa"/>
            </w:tcMar>
            <w:vAlign w:val="center"/>
          </w:tcPr>
          <w:p>
            <w:pPr>
              <w:pStyle w:val="TableContents"/>
              <w:bidi w:val="0"/>
              <w:spacing w:before="0" w:after="283"/>
              <w:jc w:val="right"/>
              <w:rPr/>
            </w:pPr>
            <w:r>
              <w:rPr/>
              <w:t>167</w:t>
            </w:r>
          </w:p>
        </w:tc>
        <w:tc>
          <w:tcPr>
            <w:tcW w:w="75"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b/>
              </w:rPr>
            </w:pPr>
            <w:r>
              <w:rPr>
                <w:b/>
              </w:rPr>
              <w:t>Total revenue</w:t>
            </w:r>
          </w:p>
        </w:tc>
        <w:tc>
          <w:tcPr>
            <w:tcW w:w="60" w:type="dxa"/>
            <w:tcBorders/>
            <w:shd w:fill="CCEEFF" w:val="clear"/>
            <w:vAlign w:val="center"/>
          </w:tcPr>
          <w:p>
            <w:pPr>
              <w:pStyle w:val="TableContents"/>
              <w:bidi w:val="0"/>
              <w:spacing w:before="0" w:after="283"/>
              <w:jc w:val="left"/>
              <w:rPr/>
            </w:pPr>
            <w:r>
              <w:rPr/>
              <w:t> </w:t>
            </w:r>
          </w:p>
        </w:tc>
        <w:tc>
          <w:tcPr>
            <w:tcW w:w="22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1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2,832</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1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699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Company’s revenue by geography for the three months ended March 31, 2026 and 2025, based on customer location:</w:t>
      </w:r>
    </w:p>
    <w:p>
      <w:pPr>
        <w:pStyle w:val="TextBody"/>
        <w:bidi w:val="0"/>
        <w:spacing w:before="0" w:after="0"/>
        <w:ind w:left="0" w:right="0" w:firstLine="360"/>
        <w:jc w:val="both"/>
        <w:rPr>
          <w:caps w:val="false"/>
          <w:smallCaps w:val="false"/>
        </w:rPr>
      </w:pPr>
      <w:r>
        <w:rPr>
          <w:caps w:val="false"/>
          <w:smallCaps w:val="false"/>
        </w:rPr>
        <w:t> </w:t>
      </w:r>
    </w:p>
    <w:tbl>
      <w:tblPr>
        <w:tblW w:w="3922" w:type="dxa"/>
        <w:jc w:val="left"/>
        <w:tblInd w:w="0" w:type="dxa"/>
        <w:tblLayout w:type="fixed"/>
        <w:tblCellMar>
          <w:top w:w="0" w:type="dxa"/>
          <w:left w:w="0" w:type="dxa"/>
          <w:bottom w:w="0" w:type="dxa"/>
          <w:right w:w="0" w:type="dxa"/>
        </w:tblCellMar>
      </w:tblPr>
      <w:tblGrid>
        <w:gridCol w:w="1610"/>
        <w:gridCol w:w="60"/>
        <w:gridCol w:w="227"/>
        <w:gridCol w:w="911"/>
        <w:gridCol w:w="97"/>
        <w:gridCol w:w="97"/>
        <w:gridCol w:w="227"/>
        <w:gridCol w:w="618"/>
        <w:gridCol w:w="75"/>
      </w:tblGrid>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March 31,</w:t>
            </w:r>
          </w:p>
        </w:tc>
        <w:tc>
          <w:tcPr>
            <w:tcW w:w="7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Canada</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911" w:type="dxa"/>
            <w:tcBorders/>
            <w:shd w:fill="CCEEFF" w:val="clear"/>
            <w:vAlign w:val="center"/>
          </w:tcPr>
          <w:p>
            <w:pPr>
              <w:pStyle w:val="TableContents"/>
              <w:bidi w:val="0"/>
              <w:spacing w:before="0" w:after="283"/>
              <w:jc w:val="right"/>
              <w:rPr/>
            </w:pPr>
            <w:r>
              <w:rPr/>
              <w:t>72</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618" w:type="dxa"/>
            <w:tcBorders/>
            <w:shd w:fill="CCEEFF" w:val="clear"/>
            <w:vAlign w:val="center"/>
          </w:tcPr>
          <w:p>
            <w:pPr>
              <w:pStyle w:val="TableContents"/>
              <w:bidi w:val="0"/>
              <w:spacing w:before="0" w:after="283"/>
              <w:jc w:val="right"/>
              <w:rPr/>
            </w:pPr>
            <w:r>
              <w:rPr/>
              <w:t>378</w:t>
            </w:r>
          </w:p>
        </w:tc>
        <w:tc>
          <w:tcPr>
            <w:tcW w:w="75" w:type="dxa"/>
            <w:tcBorders/>
            <w:shd w:fill="CCEEFF" w:val="clear"/>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283"/>
              <w:jc w:val="left"/>
              <w:rPr/>
            </w:pPr>
            <w:r>
              <w:rPr/>
              <w:t>United States</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2,513</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right"/>
              <w:rPr/>
            </w:pPr>
            <w:r>
              <w:rPr/>
              <w:t>224</w:t>
            </w:r>
          </w:p>
        </w:tc>
        <w:tc>
          <w:tcPr>
            <w:tcW w:w="75" w:type="dxa"/>
            <w:tcBorders/>
            <w:shd w:fill="FFFFFF" w:val="clear"/>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 xml:space="preserve">Rest of world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CCEEFF" w:val="clear"/>
            <w:tcMar>
              <w:bottom w:w="28" w:type="dxa"/>
            </w:tcMar>
            <w:vAlign w:val="center"/>
          </w:tcPr>
          <w:p>
            <w:pPr>
              <w:pStyle w:val="TableContents"/>
              <w:bidi w:val="0"/>
              <w:spacing w:before="0" w:after="283"/>
              <w:jc w:val="right"/>
              <w:rPr/>
            </w:pPr>
            <w:r>
              <w:rPr/>
              <w:t>247</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18" w:type="dxa"/>
            <w:tcBorders>
              <w:bottom w:val="single" w:sz="12" w:space="0" w:color="000000"/>
            </w:tcBorders>
            <w:shd w:fill="CCEEFF" w:val="clear"/>
            <w:tcMar>
              <w:bottom w:w="28" w:type="dxa"/>
            </w:tcMar>
            <w:vAlign w:val="center"/>
          </w:tcPr>
          <w:p>
            <w:pPr>
              <w:pStyle w:val="TableContents"/>
              <w:bidi w:val="0"/>
              <w:spacing w:before="0" w:after="283"/>
              <w:jc w:val="right"/>
              <w:rPr/>
            </w:pPr>
            <w:r>
              <w:rPr/>
              <w:t>97</w:t>
            </w:r>
          </w:p>
        </w:tc>
        <w:tc>
          <w:tcPr>
            <w:tcW w:w="75" w:type="dxa"/>
            <w:tcBorders/>
            <w:shd w:fill="CCEEFF" w:val="clear"/>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283"/>
              <w:jc w:val="left"/>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227"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1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2,832</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7"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61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699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osition w:val="8"/>
                <w:sz w:val="19"/>
              </w:rPr>
            </w:pPr>
            <w:r>
              <w:rPr>
                <w:position w:val="8"/>
                <w:sz w:val="19"/>
              </w:rPr>
              <w:t>(1)</w:t>
            </w:r>
          </w:p>
        </w:tc>
        <w:tc>
          <w:tcPr>
            <w:tcW w:w="9954" w:type="dxa"/>
            <w:tcBorders/>
            <w:vAlign w:val="center"/>
          </w:tcPr>
          <w:p>
            <w:pPr>
              <w:pStyle w:val="TableContents"/>
              <w:bidi w:val="0"/>
              <w:spacing w:before="0" w:after="283"/>
              <w:jc w:val="both"/>
              <w:rPr/>
            </w:pPr>
            <w:r>
              <w:rPr/>
              <w:t>Rest of world includes countries where revenue from a single country is not greater than 10% of the Company’s total consolidated revenue for the three months ended March 31, 2026 and 2025, respectively.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balances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contract assets totaling $1,860 and $1,499 as of March 31, 2026 and December 31, 2025, respectively, which are included within accounts receivable in the consolidated balance sheets.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deferred revenue (or contract liabilities) totaling $597 and $544 as of March 31, 2026 and December 31, 2025, respectively, all of which was current.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and 2025, we recognized $326 and $155, respectively of revenue, which was included in deferred revenue at the beginning of the respective periods.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 price allocated to remaining performance obligations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approximately $3,139 of revenue is expected to be recognized from remaining performance obligations on existing contracts, of which 99% is expected to be recognized in the next 12 months.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customers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percentage of revenue from significant customers which accounted for 10% or more of total revenue for the three months ended March 31, 2026 and 2025:</w:t>
      </w:r>
    </w:p>
    <w:p>
      <w:pPr>
        <w:pStyle w:val="TextBody"/>
        <w:bidi w:val="0"/>
        <w:spacing w:before="0" w:after="0"/>
        <w:ind w:left="0" w:right="0" w:firstLine="360"/>
        <w:jc w:val="both"/>
        <w:rPr>
          <w:caps w:val="false"/>
          <w:smallCaps w:val="false"/>
        </w:rPr>
      </w:pPr>
      <w:r>
        <w:rPr>
          <w:caps w:val="false"/>
          <w:smallCaps w:val="false"/>
        </w:rPr>
        <w:t> </w:t>
      </w:r>
    </w:p>
    <w:tbl>
      <w:tblPr>
        <w:tblW w:w="3596" w:type="dxa"/>
        <w:jc w:val="left"/>
        <w:tblInd w:w="0" w:type="dxa"/>
        <w:tblLayout w:type="fixed"/>
        <w:tblCellMar>
          <w:top w:w="0" w:type="dxa"/>
          <w:left w:w="0" w:type="dxa"/>
          <w:bottom w:w="0" w:type="dxa"/>
          <w:right w:w="0" w:type="dxa"/>
        </w:tblCellMar>
      </w:tblPr>
      <w:tblGrid>
        <w:gridCol w:w="1130"/>
        <w:gridCol w:w="60"/>
        <w:gridCol w:w="142"/>
        <w:gridCol w:w="619"/>
        <w:gridCol w:w="512"/>
        <w:gridCol w:w="142"/>
        <w:gridCol w:w="142"/>
        <w:gridCol w:w="619"/>
        <w:gridCol w:w="230"/>
      </w:tblGrid>
      <w:tr>
        <w:trPr/>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March 31,</w:t>
            </w:r>
          </w:p>
        </w:tc>
        <w:tc>
          <w:tcPr>
            <w:tcW w:w="23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51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7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283"/>
              <w:jc w:val="left"/>
              <w:rPr/>
            </w:pPr>
            <w:r>
              <w:rPr/>
              <w:t>Customer 1</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pPr>
            <w:r>
              <w:rPr/>
              <w:t>72</w:t>
            </w:r>
          </w:p>
        </w:tc>
        <w:tc>
          <w:tcPr>
            <w:tcW w:w="512" w:type="dxa"/>
            <w:tcBorders/>
            <w:shd w:fill="CCEEFF" w:val="clear"/>
            <w:vAlign w:val="center"/>
          </w:tcPr>
          <w:p>
            <w:pPr>
              <w:pStyle w:val="TableContents"/>
              <w:bidi w:val="0"/>
              <w:spacing w:before="0" w:after="283"/>
              <w:jc w:val="left"/>
              <w:rPr/>
            </w:pPr>
            <w:r>
              <w:rPr/>
              <w:t>%</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1130" w:type="dxa"/>
            <w:tcBorders/>
            <w:shd w:fill="FFFFFF" w:val="clear"/>
            <w:vAlign w:val="center"/>
          </w:tcPr>
          <w:p>
            <w:pPr>
              <w:pStyle w:val="TableContents"/>
              <w:bidi w:val="0"/>
              <w:spacing w:before="0" w:after="283"/>
              <w:jc w:val="left"/>
              <w:rPr/>
            </w:pPr>
            <w:r>
              <w:rPr/>
              <w:t>Customer 2</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pPr>
            <w:r>
              <w:rPr/>
              <w:t>—</w:t>
            </w:r>
          </w:p>
        </w:tc>
        <w:tc>
          <w:tcPr>
            <w:tcW w:w="51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pPr>
            <w:r>
              <w:rPr/>
              <w:t>35</w:t>
            </w:r>
          </w:p>
        </w:tc>
        <w:tc>
          <w:tcPr>
            <w:tcW w:w="230" w:type="dxa"/>
            <w:tcBorders/>
            <w:shd w:fill="FFFFFF" w:val="clear"/>
            <w:vAlign w:val="center"/>
          </w:tcPr>
          <w:p>
            <w:pPr>
              <w:pStyle w:val="TableContents"/>
              <w:bidi w:val="0"/>
              <w:spacing w:before="0" w:after="283"/>
              <w:jc w:val="left"/>
              <w:rPr/>
            </w:pPr>
            <w:r>
              <w:rPr/>
              <w:t>%</w:t>
            </w:r>
          </w:p>
        </w:tc>
      </w:tr>
      <w:tr>
        <w:trPr/>
        <w:tc>
          <w:tcPr>
            <w:tcW w:w="1130" w:type="dxa"/>
            <w:tcBorders/>
            <w:shd w:fill="CCEEFF" w:val="clear"/>
            <w:vAlign w:val="center"/>
          </w:tcPr>
          <w:p>
            <w:pPr>
              <w:pStyle w:val="TableContents"/>
              <w:bidi w:val="0"/>
              <w:spacing w:before="0" w:after="283"/>
              <w:jc w:val="left"/>
              <w:rPr/>
            </w:pPr>
            <w:r>
              <w:rPr/>
              <w:t>Customer 3</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pPr>
            <w:r>
              <w:rPr/>
              <w:t>19</w:t>
            </w:r>
          </w:p>
        </w:tc>
        <w:tc>
          <w:tcPr>
            <w:tcW w:w="230" w:type="dxa"/>
            <w:tcBorders/>
            <w:shd w:fill="CCEEFF" w:val="clear"/>
            <w:vAlign w:val="center"/>
          </w:tcPr>
          <w:p>
            <w:pPr>
              <w:pStyle w:val="TableContents"/>
              <w:bidi w:val="0"/>
              <w:spacing w:before="0" w:after="283"/>
              <w:jc w:val="left"/>
              <w:rPr/>
            </w:pPr>
            <w:r>
              <w:rPr/>
              <w:t>%</w:t>
            </w:r>
          </w:p>
        </w:tc>
      </w:tr>
      <w:tr>
        <w:trPr/>
        <w:tc>
          <w:tcPr>
            <w:tcW w:w="1130" w:type="dxa"/>
            <w:tcBorders/>
            <w:shd w:fill="FFFFFF" w:val="clear"/>
            <w:vAlign w:val="center"/>
          </w:tcPr>
          <w:p>
            <w:pPr>
              <w:pStyle w:val="TableContents"/>
              <w:bidi w:val="0"/>
              <w:spacing w:before="0" w:after="283"/>
              <w:jc w:val="left"/>
              <w:rPr/>
            </w:pPr>
            <w:r>
              <w:rPr/>
              <w:t>Customer 4</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pPr>
            <w:r>
              <w:rPr/>
              <w:t>—</w:t>
            </w:r>
          </w:p>
        </w:tc>
        <w:tc>
          <w:tcPr>
            <w:tcW w:w="51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pPr>
            <w:r>
              <w:rPr/>
              <w:t>11</w:t>
            </w:r>
          </w:p>
        </w:tc>
        <w:tc>
          <w:tcPr>
            <w:tcW w:w="230" w:type="dxa"/>
            <w:tcBorders/>
            <w:shd w:fill="FFFFFF" w:val="clear"/>
            <w:vAlign w:val="center"/>
          </w:tcPr>
          <w:p>
            <w:pPr>
              <w:pStyle w:val="TableContents"/>
              <w:bidi w:val="0"/>
              <w:spacing w:before="0" w:after="283"/>
              <w:jc w:val="left"/>
              <w:rPr/>
            </w:pPr>
            <w:r>
              <w:rPr/>
              <w:t>%</w:t>
            </w:r>
          </w:p>
        </w:tc>
      </w:tr>
      <w:tr>
        <w:trPr/>
        <w:tc>
          <w:tcPr>
            <w:tcW w:w="1130" w:type="dxa"/>
            <w:tcBorders/>
            <w:shd w:fill="CCEEFF" w:val="clear"/>
            <w:vAlign w:val="center"/>
          </w:tcPr>
          <w:p>
            <w:pPr>
              <w:pStyle w:val="TableContents"/>
              <w:bidi w:val="0"/>
              <w:spacing w:before="0" w:after="283"/>
              <w:jc w:val="left"/>
              <w:rPr/>
            </w:pPr>
            <w:r>
              <w:rPr/>
              <w:t>Customer 5</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pPr>
            <w:r>
              <w:rPr/>
              <w:t>10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none of the outstanding customers had a receivables balance that exceeded 10% of the total trade and other receivables balance.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F-35</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Shareholders’ Equity: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shares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Authorized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had two classes of common shares - Xanadu Class A Multiple Voting Shares and Xanadu Class B Subordinate Voting Shares. Our authorized share capital consists of an unlimited number of Class A Multiple Voting Shares and an unlimited number of Xanadu Class B Subordinate Voting Shares, each without a par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Xanadu Class A Multiple Voting Shares are entitled to ten votes per share and holders of Xanadu Class B Subordinate Voting Shares are entitled to one vote per share on all matters upon which shareholders are entitled to vote.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Xanadu Class A Multiple Voting Share is convertible at any time, at the option of the holder, into one Xanadu Class B Subordinate Voting Share. Additionally, Xanadu Class A Multiple Voting Shares will automatically convert into Xanadu Class B Subordinate Voting Shares upon any transfer (as defined in the articles of incorporation), subject to certain limited exceptions for permitted holders as outlined in the Company’s articles of incorporation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and Liquidation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Xanadu Class A Multiple Voting Shares and Xanadu Class B Subordinate Voting Shares rank pari passu with respect to the payment of dividends and the distribution of assets in the event of the liquidation, dissolution, or winding up of the Company. No dividend may be declared or paid on the Xanadu Class A Multiple Voting Shares unless a dividend of the same amount and type is simultaneously declared or paid on the Xanadu Class B Subordinate Voting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number and amount of each class of common shares issued and outstanding as of March 31, 2026 and December 31, 2025:</w:t>
      </w:r>
    </w:p>
    <w:p>
      <w:pPr>
        <w:pStyle w:val="TextBody"/>
        <w:bidi w:val="0"/>
        <w:spacing w:before="0" w:after="0"/>
        <w:ind w:left="0" w:right="0" w:firstLine="360"/>
        <w:jc w:val="left"/>
        <w:rPr>
          <w:caps w:val="false"/>
          <w:smallCaps w:val="false"/>
        </w:rPr>
      </w:pPr>
      <w:r>
        <w:rPr>
          <w:caps w:val="false"/>
          <w:smallCaps w:val="false"/>
        </w:rPr>
        <w:t> </w:t>
      </w:r>
    </w:p>
    <w:tbl>
      <w:tblPr>
        <w:tblW w:w="5810" w:type="dxa"/>
        <w:jc w:val="left"/>
        <w:tblInd w:w="0" w:type="dxa"/>
        <w:tblLayout w:type="fixed"/>
        <w:tblCellMar>
          <w:top w:w="0" w:type="dxa"/>
          <w:left w:w="0" w:type="dxa"/>
          <w:bottom w:w="0" w:type="dxa"/>
          <w:right w:w="0" w:type="dxa"/>
        </w:tblCellMar>
      </w:tblPr>
      <w:tblGrid>
        <w:gridCol w:w="3335"/>
        <w:gridCol w:w="60"/>
        <w:gridCol w:w="60"/>
        <w:gridCol w:w="1220"/>
        <w:gridCol w:w="60"/>
        <w:gridCol w:w="60"/>
        <w:gridCol w:w="140"/>
        <w:gridCol w:w="800"/>
        <w:gridCol w:w="75"/>
      </w:tblGrid>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 2026</w:t>
            </w:r>
          </w:p>
        </w:tc>
        <w:tc>
          <w:tcPr>
            <w:tcW w:w="75"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0"/>
              <w:ind w:left="0" w:right="0" w:firstLine="67"/>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Issued and</w:t>
              <w:b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Class A Multiple Voting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255,226,928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221,495</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Class B Subordinate Voting shares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43,284,436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256,679</w:t>
            </w:r>
          </w:p>
        </w:tc>
        <w:tc>
          <w:tcPr>
            <w:tcW w:w="75"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b/>
              </w:rPr>
            </w:pPr>
            <w:r>
              <w:rPr>
                <w:b/>
              </w:rPr>
              <w:t>Total Common Shares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298,511,364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478,174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7655" w:type="dxa"/>
        <w:jc w:val="left"/>
        <w:tblInd w:w="0" w:type="dxa"/>
        <w:tblLayout w:type="fixed"/>
        <w:tblCellMar>
          <w:top w:w="0" w:type="dxa"/>
          <w:left w:w="0" w:type="dxa"/>
          <w:bottom w:w="0" w:type="dxa"/>
          <w:right w:w="0" w:type="dxa"/>
        </w:tblCellMar>
      </w:tblPr>
      <w:tblGrid>
        <w:gridCol w:w="5180"/>
        <w:gridCol w:w="60"/>
        <w:gridCol w:w="60"/>
        <w:gridCol w:w="1220"/>
        <w:gridCol w:w="60"/>
        <w:gridCol w:w="60"/>
        <w:gridCol w:w="140"/>
        <w:gridCol w:w="800"/>
        <w:gridCol w:w="75"/>
      </w:tblGrid>
      <w:tr>
        <w:trPr/>
        <w:tc>
          <w:tcPr>
            <w:tcW w:w="5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 2025</w:t>
              <w:br/>
              <w:t xml:space="preserve">As Adjusted </w:t>
            </w:r>
            <w:r>
              <w:rPr>
                <w:b/>
                <w:position w:val="8"/>
                <w:sz w:val="19"/>
              </w:rPr>
              <w:t>(1)</w:t>
            </w:r>
          </w:p>
        </w:tc>
        <w:tc>
          <w:tcPr>
            <w:tcW w:w="75"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Issued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left"/>
              <w:rPr/>
            </w:pPr>
            <w:r>
              <w:rPr/>
              <w:t>Old Xanadu Convertible Preferred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199,930,069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213,002</w:t>
            </w:r>
          </w:p>
        </w:tc>
        <w:tc>
          <w:tcPr>
            <w:tcW w:w="75" w:type="dxa"/>
            <w:tcBorders/>
            <w:shd w:fill="CCEE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283"/>
              <w:jc w:val="left"/>
              <w:rPr/>
            </w:pPr>
            <w:r>
              <w:rPr/>
              <w:t>Old Xanadu Voting and Non-Voting Common Shares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55,964,876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7,585</w:t>
            </w:r>
          </w:p>
        </w:tc>
        <w:tc>
          <w:tcPr>
            <w:tcW w:w="75" w:type="dxa"/>
            <w:tcBorders/>
            <w:shd w:fill="FFFFFF" w:val="cle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left"/>
              <w:rPr>
                <w:b/>
              </w:rPr>
            </w:pPr>
            <w:r>
              <w:rPr>
                <w:b/>
              </w:rPr>
              <w:t>Total Old Xanadu Preferred and Common Shares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255,894,945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220,587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433" w:type="dxa"/>
        <w:jc w:val="left"/>
        <w:tblInd w:w="0" w:type="dxa"/>
        <w:tblLayout w:type="fixed"/>
        <w:tblCellMar>
          <w:top w:w="0" w:type="dxa"/>
          <w:left w:w="0" w:type="dxa"/>
          <w:bottom w:w="0" w:type="dxa"/>
          <w:right w:w="0" w:type="dxa"/>
        </w:tblCellMar>
      </w:tblPr>
      <w:tblGrid>
        <w:gridCol w:w="38"/>
        <w:gridCol w:w="245"/>
        <w:gridCol w:w="51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osition w:val="8"/>
                <w:sz w:val="19"/>
              </w:rPr>
            </w:pPr>
            <w:r>
              <w:rPr>
                <w:position w:val="8"/>
                <w:sz w:val="19"/>
              </w:rPr>
              <w:t>(1)</w:t>
            </w:r>
          </w:p>
        </w:tc>
        <w:tc>
          <w:tcPr>
            <w:tcW w:w="5150" w:type="dxa"/>
            <w:tcBorders/>
            <w:vAlign w:val="center"/>
          </w:tcPr>
          <w:p>
            <w:pPr>
              <w:pStyle w:val="TableContents"/>
              <w:bidi w:val="0"/>
              <w:spacing w:before="0" w:after="283"/>
              <w:jc w:val="both"/>
              <w:rPr/>
            </w:pPr>
            <w:r>
              <w:rPr/>
              <w:t>Shares have been recast to reflect the Exchange Ratio.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F-36</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issued and outstanding common shares and share capital by class for the three months ended March 31, 2026:</w:t>
      </w:r>
    </w:p>
    <w:p>
      <w:pPr>
        <w:pStyle w:val="TextBody"/>
        <w:bidi w:val="0"/>
        <w:spacing w:before="0" w:after="0"/>
        <w:ind w:left="0" w:right="0" w:firstLine="360"/>
        <w:jc w:val="both"/>
        <w:rPr>
          <w:caps w:val="false"/>
          <w:smallCaps w:val="false"/>
        </w:rPr>
      </w:pPr>
      <w:r>
        <w:rPr>
          <w:caps w:val="false"/>
          <w:smallCaps w:val="false"/>
        </w:rPr>
        <w:t> </w:t>
      </w:r>
    </w:p>
    <w:tbl>
      <w:tblPr>
        <w:tblW w:w="13945" w:type="dxa"/>
        <w:jc w:val="left"/>
        <w:tblInd w:w="0" w:type="dxa"/>
        <w:tblLayout w:type="fixed"/>
        <w:tblCellMar>
          <w:top w:w="0" w:type="dxa"/>
          <w:left w:w="0" w:type="dxa"/>
          <w:bottom w:w="0" w:type="dxa"/>
          <w:right w:w="0" w:type="dxa"/>
        </w:tblCellMar>
      </w:tblPr>
      <w:tblGrid>
        <w:gridCol w:w="1550"/>
        <w:gridCol w:w="60"/>
        <w:gridCol w:w="60"/>
        <w:gridCol w:w="1295"/>
        <w:gridCol w:w="95"/>
        <w:gridCol w:w="60"/>
        <w:gridCol w:w="140"/>
        <w:gridCol w:w="875"/>
        <w:gridCol w:w="95"/>
        <w:gridCol w:w="60"/>
        <w:gridCol w:w="60"/>
        <w:gridCol w:w="1175"/>
        <w:gridCol w:w="95"/>
        <w:gridCol w:w="60"/>
        <w:gridCol w:w="196"/>
        <w:gridCol w:w="664"/>
        <w:gridCol w:w="95"/>
        <w:gridCol w:w="60"/>
        <w:gridCol w:w="60"/>
        <w:gridCol w:w="1220"/>
        <w:gridCol w:w="60"/>
        <w:gridCol w:w="60"/>
        <w:gridCol w:w="140"/>
        <w:gridCol w:w="800"/>
        <w:gridCol w:w="60"/>
        <w:gridCol w:w="60"/>
        <w:gridCol w:w="60"/>
        <w:gridCol w:w="1100"/>
        <w:gridCol w:w="60"/>
        <w:gridCol w:w="60"/>
        <w:gridCol w:w="140"/>
        <w:gridCol w:w="800"/>
        <w:gridCol w:w="95"/>
        <w:gridCol w:w="60"/>
        <w:gridCol w:w="60"/>
        <w:gridCol w:w="1220"/>
        <w:gridCol w:w="60"/>
        <w:gridCol w:w="60"/>
        <w:gridCol w:w="140"/>
        <w:gridCol w:w="800"/>
        <w:gridCol w:w="75"/>
      </w:tblGrid>
      <w:tr>
        <w:trPr/>
        <w:tc>
          <w:tcPr>
            <w:tcW w:w="155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5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Old Xanadu Convertible Preferred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Old Xanadu Common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Class A Multiple Voting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Class B Subordinate Voting Shares and Share 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Total Common Shares</w:t>
            </w:r>
          </w:p>
        </w:tc>
        <w:tc>
          <w:tcPr>
            <w:tcW w:w="75" w:type="dxa"/>
            <w:tcBorders/>
            <w:vAlign w:val="center"/>
          </w:tcPr>
          <w:p>
            <w:pPr>
              <w:pStyle w:val="TableContents"/>
              <w:bidi w:val="0"/>
              <w:spacing w:before="0" w:after="283"/>
              <w:ind w:left="0" w:right="0" w:hanging="180"/>
              <w:jc w:val="left"/>
              <w:rPr/>
            </w:pPr>
            <w:r>
              <w:rPr/>
              <w:t> </w:t>
            </w:r>
          </w:p>
        </w:tc>
      </w:tr>
      <w:tr>
        <w:trPr/>
        <w:tc>
          <w:tcPr>
            <w:tcW w:w="1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 xml:space="preserve">Balance as of December 31, 2025 as adjusted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199,930,069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213,002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55,964,876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664" w:type="dxa"/>
            <w:tcBorders/>
            <w:shd w:fill="CCEEFF" w:val="clear"/>
            <w:vAlign w:val="center"/>
          </w:tcPr>
          <w:p>
            <w:pPr>
              <w:pStyle w:val="TableContents"/>
              <w:bidi w:val="0"/>
              <w:spacing w:before="0" w:after="283"/>
              <w:jc w:val="right"/>
              <w:rPr/>
            </w:pPr>
            <w:r>
              <w:rPr/>
              <w:t>7,585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255,894,945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220,587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shd w:fill="FFFFFF" w:val="clear"/>
            <w:vAlign w:val="center"/>
          </w:tcPr>
          <w:p>
            <w:pPr>
              <w:pStyle w:val="TableContents"/>
              <w:bidi w:val="0"/>
              <w:spacing w:before="0" w:after="283"/>
              <w:jc w:val="left"/>
              <w:rPr/>
            </w:pPr>
            <w:r>
              <w:rPr/>
              <w:t>Issuance upon exercise of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1,789,955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1,789,955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1,181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Issuance of common stock upon exchange of Old Xanadu’s preferred and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(199,930,069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(213,002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(55,964,876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(7,585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254,709,401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220,098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1,185,544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shd w:fill="FFFFFF" w:val="clear"/>
            <w:vAlign w:val="center"/>
          </w:tcPr>
          <w:p>
            <w:pPr>
              <w:pStyle w:val="TableContents"/>
              <w:bidi w:val="0"/>
              <w:spacing w:before="0" w:after="283"/>
              <w:jc w:val="left"/>
              <w:rPr/>
            </w:pPr>
            <w:r>
              <w:rPr/>
              <w:t>Reverse Recapitalization and PIPE transaction,</w:t>
              <w:br/>
              <w:t>net of transaction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40,308,937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265,006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40,308,937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265,006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Earn-out share liability at Closing</w:t>
              <w:br/>
              <w:t>of Reverse Recapitalization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(9,997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(9,997</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550" w:type="dxa"/>
            <w:tcBorders/>
            <w:shd w:fill="FFFFFF" w:val="clear"/>
            <w:vAlign w:val="center"/>
          </w:tcPr>
          <w:p>
            <w:pPr>
              <w:pStyle w:val="TableContents"/>
              <w:bidi w:val="0"/>
              <w:spacing w:before="0" w:after="283"/>
              <w:jc w:val="left"/>
              <w:rPr/>
            </w:pPr>
            <w:r>
              <w:rPr/>
              <w:t>Warrant Exercise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517,527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1,397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517,527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1,397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Balance as of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4"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255,226,928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221,495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43,284,436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256,679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298,511,364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478,174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245"/>
        <w:gridCol w:w="75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osition w:val="8"/>
                <w:sz w:val="19"/>
              </w:rPr>
            </w:pPr>
            <w:r>
              <w:rPr>
                <w:position w:val="8"/>
                <w:sz w:val="19"/>
              </w:rPr>
              <w:t>(1)</w:t>
            </w:r>
          </w:p>
        </w:tc>
        <w:tc>
          <w:tcPr>
            <w:tcW w:w="7580" w:type="dxa"/>
            <w:tcBorders/>
            <w:vAlign w:val="center"/>
          </w:tcPr>
          <w:p>
            <w:pPr>
              <w:pStyle w:val="TableContents"/>
              <w:bidi w:val="0"/>
              <w:spacing w:before="0" w:after="283"/>
              <w:jc w:val="both"/>
              <w:rPr/>
            </w:pPr>
            <w:r>
              <w:rPr/>
              <w:t>Refer to note in the table above for information related to the prior period recast.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Shares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unlimited amount of authorized Xanadu Preferred Shares, with no par value. As of March 31, 2026 and December 31, 2025 there were no Xanadu Preferred Shares issued and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 to Purchase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on March 26, 2026, the SFTrust Warrants were exchanged for warrants to purchase Xanadu Class A Multiple Voting Shares and the RBC Warrants were exchanged for warrants to purchase Xanadu Class B Subordinate Voting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SFTrust Warrants were exchanged for 519,974 warrants to purchase Xanadu Class A Multiple Voting Shares and the RBC Warrants were exchanged for 157,960 warrants to purchase Xanadu Class B Subordinate Voting Shares, resulting in a total of 677,934 warrants exchanged in the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F-37</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or as otherwise noted)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Stock-based Compensation: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Old Xanadu Long Term Incentive Plan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Reverse Recapitalization, each outstanding option to purchase Old Xanadu Voting Common Shares, under the Company’s 2017 Equity Incentive Plan (the “2017 Plan”) and the 2018 Equity Incentive Plan (the “2018 Plan”), was exchanged for a Xanadu Class A Multiple Voting Share Option, and each option to purchase Old Xanadu Non-Voting Common Shares was exchanged for a Xanadu Class B Subordinate Voting Share Option.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Xanadu shares subject to each assumed option was determined by multiplying the number of Old Xanadu common shares subject to the original option by the Exchange Ratio (rounded down to the nearest whole share). The per-share exercise price was determined by dividing the prior exercise price by the Exchange Ratio and rounded pursuant to the Plan of Arrangement. All other terms and conditions, including vesting schedules and expiration terms, remain unchanged. As of the Closing, the strike price was converted from Canadian dollars to U.S. dollars to align with the trading of the Xanadu Class B Subordinate Voting Shares on the Nasdaq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Old Xanadu authorized the grant of restricted shares and stock options for up to 1,393,773 non-voting common shares under the Company’s 2017 Plan and 5,749,323 non-voting common shares under the 2018 Plan. After giving effect to the Exchange Ratio, these authorizations represent 15,726,911 and 64,873,614 adjusted shares,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options granted to date under the 2017 Plan and 2018 Plan have a service condition with the following vesting terms: (a) 25% of the options granted vest on a date that is one year after the date the service period begins and (b) the remaining unvested options vest in equal monthly installments for an additional 36 months.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generally expire 10 years from the original grant date or 90 days from an employee’s termination date. However, the Company has granted expiration extensions to certain terminated employees to June 30, 2026 and in one instance, to November 27,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Closing of the Reverse Recapitalization in the first quarter of 2026, no new equity awards will be granted under the 2017 Plan and the 2018 Plan. In connection with the Reverse Recapitalization, new grants will be issued under the Omnibus Long Term Incentive Plan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all options have been granted under the 2017 Plan and 17,635,998 options remain outstanding under the 2018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Omnibus Long Term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adopted the Xanadu Omnibus Long Term Incentive Plan (the “Omnibus Plan”) in connection with the Closing of the Reverse Recapitalization. The Omnibus Plan reserves an amount of Xanadu shares for grant equal to 15% of the Xanadu shares issued and outstanding from time to time. The Company’s equity awards corresponding to Old Xanadu equity awards do not reduce the number of shares available for issuance under the Omnibus Plan. The Omnibus Plan permits the grant of several award types, including:</w:t>
      </w:r>
    </w:p>
    <w:p>
      <w:pPr>
        <w:pStyle w:val="TextBody"/>
        <w:bidi w:val="0"/>
        <w:spacing w:before="0" w:after="0"/>
        <w:ind w:left="0" w:right="0" w:firstLine="360"/>
        <w:jc w:val="both"/>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17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90" w:type="dxa"/>
            <w:tcBorders/>
            <w:vAlign w:val="center"/>
          </w:tcPr>
          <w:p>
            <w:pPr>
              <w:pStyle w:val="TableContents"/>
              <w:bidi w:val="0"/>
              <w:spacing w:before="0" w:after="283"/>
              <w:jc w:val="both"/>
              <w:rPr/>
            </w:pPr>
            <w:r>
              <w:rPr/>
              <w:t>Stock Options (Incentive Stock Options and Non-Qualified Stock Options).</w:t>
            </w:r>
          </w:p>
        </w:tc>
      </w:tr>
    </w:tbl>
    <w:p>
      <w:pPr>
        <w:pStyle w:val="TextBody"/>
        <w:bidi w:val="0"/>
        <w:spacing w:before="0" w:after="0"/>
        <w:jc w:val="left"/>
        <w:rPr>
          <w:caps w:val="false"/>
          <w:smallCaps w:val="false"/>
        </w:rPr>
      </w:pPr>
      <w:r>
        <w:rPr>
          <w:caps w:val="false"/>
          <w:smallCaps w:val="false"/>
        </w:rPr>
        <w:t> </w:t>
      </w:r>
    </w:p>
    <w:tbl>
      <w:tblPr>
        <w:tblW w:w="3588" w:type="dxa"/>
        <w:jc w:val="left"/>
        <w:tblInd w:w="0" w:type="dxa"/>
        <w:tblLayout w:type="fixed"/>
        <w:tblCellMar>
          <w:top w:w="0" w:type="dxa"/>
          <w:left w:w="0" w:type="dxa"/>
          <w:bottom w:w="0" w:type="dxa"/>
          <w:right w:w="0" w:type="dxa"/>
        </w:tblCellMar>
      </w:tblPr>
      <w:tblGrid>
        <w:gridCol w:w="38"/>
        <w:gridCol w:w="170"/>
        <w:gridCol w:w="3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80" w:type="dxa"/>
            <w:tcBorders/>
            <w:vAlign w:val="center"/>
          </w:tcPr>
          <w:p>
            <w:pPr>
              <w:pStyle w:val="TableContents"/>
              <w:bidi w:val="0"/>
              <w:spacing w:before="0" w:after="283"/>
              <w:jc w:val="both"/>
              <w:rPr/>
            </w:pPr>
            <w:r>
              <w:rPr/>
              <w:t>Share Appreciation Rights (SARs),</w:t>
            </w:r>
          </w:p>
        </w:tc>
      </w:tr>
    </w:tbl>
    <w:p>
      <w:pPr>
        <w:pStyle w:val="TextBody"/>
        <w:bidi w:val="0"/>
        <w:spacing w:before="0" w:after="0"/>
        <w:jc w:val="left"/>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17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80" w:type="dxa"/>
            <w:tcBorders/>
            <w:vAlign w:val="center"/>
          </w:tcPr>
          <w:p>
            <w:pPr>
              <w:pStyle w:val="TableContents"/>
              <w:bidi w:val="0"/>
              <w:spacing w:before="0" w:after="283"/>
              <w:jc w:val="both"/>
              <w:rPr/>
            </w:pPr>
            <w:r>
              <w:rPr/>
              <w:t>Restricted Share Units (RSUs) and Performance Share Units (PSUs) and;</w:t>
            </w:r>
          </w:p>
        </w:tc>
      </w:tr>
    </w:tbl>
    <w:p>
      <w:pPr>
        <w:pStyle w:val="TextBody"/>
        <w:bidi w:val="0"/>
        <w:spacing w:before="0" w:after="0"/>
        <w:jc w:val="left"/>
        <w:rPr>
          <w:caps w:val="false"/>
          <w:smallCaps w:val="false"/>
        </w:rPr>
      </w:pPr>
      <w:r>
        <w:rPr>
          <w:caps w:val="false"/>
          <w:smallCaps w:val="false"/>
        </w:rPr>
        <w:t> </w:t>
      </w:r>
    </w:p>
    <w:tbl>
      <w:tblPr>
        <w:tblW w:w="3108" w:type="dxa"/>
        <w:jc w:val="left"/>
        <w:tblInd w:w="0" w:type="dxa"/>
        <w:tblLayout w:type="fixed"/>
        <w:tblCellMar>
          <w:top w:w="0" w:type="dxa"/>
          <w:left w:w="0" w:type="dxa"/>
          <w:bottom w:w="0" w:type="dxa"/>
          <w:right w:w="0" w:type="dxa"/>
        </w:tblCellMar>
      </w:tblPr>
      <w:tblGrid>
        <w:gridCol w:w="38"/>
        <w:gridCol w:w="170"/>
        <w:gridCol w:w="2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00" w:type="dxa"/>
            <w:tcBorders/>
            <w:vAlign w:val="center"/>
          </w:tcPr>
          <w:p>
            <w:pPr>
              <w:pStyle w:val="TableContents"/>
              <w:bidi w:val="0"/>
              <w:spacing w:before="0" w:after="283"/>
              <w:jc w:val="both"/>
              <w:rPr/>
            </w:pPr>
            <w:r>
              <w:rPr/>
              <w:t>Deferred Share Units (DSUs).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awards have been granted as of March 31, 2026 under the Omnibus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F-38</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is a summary of the Company’s stock options activity (as adjusted for the Exchange Ratio) during the three months ended March 31, 2026 </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tbl>
      <w:tblPr>
        <w:tblW w:w="8843" w:type="dxa"/>
        <w:jc w:val="left"/>
        <w:tblInd w:w="0" w:type="dxa"/>
        <w:tblLayout w:type="fixed"/>
        <w:tblCellMar>
          <w:top w:w="0" w:type="dxa"/>
          <w:left w:w="0" w:type="dxa"/>
          <w:bottom w:w="0" w:type="dxa"/>
          <w:right w:w="0" w:type="dxa"/>
        </w:tblCellMar>
      </w:tblPr>
      <w:tblGrid>
        <w:gridCol w:w="3530"/>
        <w:gridCol w:w="60"/>
        <w:gridCol w:w="61"/>
        <w:gridCol w:w="1128"/>
        <w:gridCol w:w="60"/>
        <w:gridCol w:w="60"/>
        <w:gridCol w:w="334"/>
        <w:gridCol w:w="1050"/>
        <w:gridCol w:w="60"/>
        <w:gridCol w:w="60"/>
        <w:gridCol w:w="141"/>
        <w:gridCol w:w="1034"/>
        <w:gridCol w:w="60"/>
        <w:gridCol w:w="60"/>
        <w:gridCol w:w="159"/>
        <w:gridCol w:w="911"/>
        <w:gridCol w:w="75"/>
      </w:tblGrid>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Number of </w:t>
              <w:b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 price</w:t>
              <w:b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remaining</w:t>
              <w:br/>
              <w:t>contractual</w:t>
              <w:br/>
              <w:t>term</w:t>
              <w:b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Aggregate</w:t>
              <w:br/>
              <w:t>intrinsic</w:t>
              <w:br/>
              <w:t>value</w:t>
              <w:br/>
              <w:t>(USD)</w:t>
            </w:r>
          </w:p>
        </w:tc>
        <w:tc>
          <w:tcPr>
            <w:tcW w:w="7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 xml:space="preserve">Balance as of December 31, 2025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49,486,556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w:t>
            </w:r>
          </w:p>
        </w:tc>
        <w:tc>
          <w:tcPr>
            <w:tcW w:w="1050" w:type="dxa"/>
            <w:tcBorders/>
            <w:shd w:fill="CCEEFF" w:val="clear"/>
            <w:vAlign w:val="center"/>
          </w:tcPr>
          <w:p>
            <w:pPr>
              <w:pStyle w:val="TableContents"/>
              <w:bidi w:val="0"/>
              <w:spacing w:before="0" w:after="283"/>
              <w:jc w:val="right"/>
              <w:rPr/>
            </w:pPr>
            <w:r>
              <w:rPr/>
              <w:t>1.19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6.65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911" w:type="dxa"/>
            <w:tcBorders/>
            <w:shd w:fill="CCEEFF" w:val="clear"/>
            <w:vAlign w:val="center"/>
          </w:tcPr>
          <w:p>
            <w:pPr>
              <w:pStyle w:val="TableContents"/>
              <w:bidi w:val="0"/>
              <w:spacing w:before="0" w:after="283"/>
              <w:jc w:val="right"/>
              <w:rPr/>
            </w:pPr>
            <w:r>
              <w:rPr/>
              <w:t>290,074</w:t>
            </w:r>
          </w:p>
        </w:tc>
        <w:tc>
          <w:tcPr>
            <w:tcW w:w="7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xml:space="preserve">Granted </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 xml:space="preserve">Exercised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1,920,273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0.65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xml:space="preserve">Expired and forfeited </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12" w:space="0" w:color="000000"/>
            </w:tcBorders>
            <w:shd w:fill="FFFFFF" w:val="clear"/>
            <w:tcMar>
              <w:bottom w:w="28" w:type="dxa"/>
            </w:tcMar>
            <w:vAlign w:val="center"/>
          </w:tcPr>
          <w:p>
            <w:pPr>
              <w:pStyle w:val="TableContents"/>
              <w:bidi w:val="0"/>
              <w:spacing w:before="0" w:after="283"/>
              <w:jc w:val="right"/>
              <w:rPr/>
            </w:pPr>
            <w:r>
              <w:rPr/>
              <w:t>328,667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single" w:sz="12" w:space="0" w:color="000000"/>
            </w:tcBorders>
            <w:shd w:fill="FFFFFF" w:val="clear"/>
            <w:tcMar>
              <w:bottom w:w="28" w:type="dxa"/>
            </w:tcMar>
            <w:vAlign w:val="center"/>
          </w:tcPr>
          <w:p>
            <w:pPr>
              <w:pStyle w:val="TableContents"/>
              <w:bidi w:val="0"/>
              <w:spacing w:before="0" w:after="283"/>
              <w:jc w:val="right"/>
              <w:rPr/>
            </w:pPr>
            <w:r>
              <w:rPr/>
              <w:t>1.52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 xml:space="preserve">Balance as of March 31, 2026 </w:t>
            </w: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single" w:sz="12" w:space="0" w:color="000000"/>
            </w:tcBorders>
            <w:shd w:fill="CCEEFF" w:val="clear"/>
            <w:tcMar>
              <w:bottom w:w="28" w:type="dxa"/>
            </w:tcMar>
            <w:vAlign w:val="center"/>
          </w:tcPr>
          <w:p>
            <w:pPr>
              <w:pStyle w:val="TableContents"/>
              <w:bidi w:val="0"/>
              <w:spacing w:before="0" w:after="283"/>
              <w:jc w:val="right"/>
              <w:rPr/>
            </w:pPr>
            <w:r>
              <w:rPr/>
              <w:t>47,237,616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50" w:type="dxa"/>
            <w:tcBorders>
              <w:bottom w:val="single" w:sz="12" w:space="0" w:color="000000"/>
            </w:tcBorders>
            <w:shd w:fill="CCEEFF" w:val="clear"/>
            <w:tcMar>
              <w:bottom w:w="28" w:type="dxa"/>
            </w:tcMar>
            <w:vAlign w:val="center"/>
          </w:tcPr>
          <w:p>
            <w:pPr>
              <w:pStyle w:val="TableContents"/>
              <w:bidi w:val="0"/>
              <w:spacing w:before="0" w:after="283"/>
              <w:jc w:val="right"/>
              <w:rPr/>
            </w:pPr>
            <w:r>
              <w:rPr/>
              <w:t>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CCEEFF" w:val="clear"/>
            <w:tcMar>
              <w:bottom w:w="28" w:type="dxa"/>
            </w:tcMar>
            <w:vAlign w:val="center"/>
          </w:tcPr>
          <w:p>
            <w:pPr>
              <w:pStyle w:val="TableContents"/>
              <w:bidi w:val="0"/>
              <w:spacing w:before="0" w:after="283"/>
              <w:jc w:val="right"/>
              <w:rPr/>
            </w:pPr>
            <w:r>
              <w:rPr/>
              <w:t>6.45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11" w:type="dxa"/>
            <w:tcBorders>
              <w:bottom w:val="single" w:sz="12" w:space="0" w:color="000000"/>
            </w:tcBorders>
            <w:shd w:fill="CCEEFF" w:val="clear"/>
            <w:tcMar>
              <w:bottom w:w="28" w:type="dxa"/>
            </w:tcMar>
            <w:vAlign w:val="center"/>
          </w:tcPr>
          <w:p>
            <w:pPr>
              <w:pStyle w:val="TableContents"/>
              <w:bidi w:val="0"/>
              <w:spacing w:before="0" w:after="283"/>
              <w:jc w:val="right"/>
              <w:rPr/>
            </w:pPr>
            <w:r>
              <w:rPr/>
              <w:t>304,683</w:t>
            </w:r>
          </w:p>
        </w:tc>
        <w:tc>
          <w:tcPr>
            <w:tcW w:w="7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Exercisable as of March 31, 2026</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12" w:space="0" w:color="000000"/>
            </w:tcBorders>
            <w:shd w:fill="FFFFFF" w:val="clear"/>
            <w:tcMar>
              <w:bottom w:w="28" w:type="dxa"/>
            </w:tcMar>
            <w:vAlign w:val="center"/>
          </w:tcPr>
          <w:p>
            <w:pPr>
              <w:pStyle w:val="TableContents"/>
              <w:bidi w:val="0"/>
              <w:spacing w:before="0" w:after="283"/>
              <w:jc w:val="right"/>
              <w:rPr/>
            </w:pPr>
            <w:r>
              <w:rPr/>
              <w:t>31,038,814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50" w:type="dxa"/>
            <w:tcBorders>
              <w:bottom w:val="single" w:sz="12" w:space="0" w:color="000000"/>
            </w:tcBorders>
            <w:shd w:fill="FFFFFF" w:val="clear"/>
            <w:tcMar>
              <w:bottom w:w="28" w:type="dxa"/>
            </w:tcMar>
            <w:vAlign w:val="center"/>
          </w:tcPr>
          <w:p>
            <w:pPr>
              <w:pStyle w:val="TableContents"/>
              <w:bidi w:val="0"/>
              <w:spacing w:before="0" w:after="283"/>
              <w:jc w:val="right"/>
              <w:rPr/>
            </w:pPr>
            <w:r>
              <w:rPr/>
              <w:t>0.09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FFFFFF" w:val="clear"/>
            <w:tcMar>
              <w:bottom w:w="28" w:type="dxa"/>
            </w:tcMar>
            <w:vAlign w:val="center"/>
          </w:tcPr>
          <w:p>
            <w:pPr>
              <w:pStyle w:val="TableContents"/>
              <w:bidi w:val="0"/>
              <w:spacing w:before="0" w:after="283"/>
              <w:jc w:val="right"/>
              <w:rPr/>
            </w:pPr>
            <w:r>
              <w:rPr/>
              <w:t>7.57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11" w:type="dxa"/>
            <w:tcBorders>
              <w:bottom w:val="single" w:sz="12" w:space="0" w:color="000000"/>
            </w:tcBorders>
            <w:shd w:fill="FFFFFF" w:val="clear"/>
            <w:tcMar>
              <w:bottom w:w="28" w:type="dxa"/>
            </w:tcMar>
            <w:vAlign w:val="center"/>
          </w:tcPr>
          <w:p>
            <w:pPr>
              <w:pStyle w:val="TableContents"/>
              <w:bidi w:val="0"/>
              <w:spacing w:before="0" w:after="283"/>
              <w:jc w:val="right"/>
              <w:rPr/>
            </w:pPr>
            <w:r>
              <w:rPr/>
              <w:t>234,840</w:t>
            </w:r>
          </w:p>
        </w:tc>
        <w:tc>
          <w:tcPr>
            <w:tcW w:w="7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Unvested as of March 31, 2026</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double" w:sz="10" w:space="0" w:color="000000"/>
            </w:tcBorders>
            <w:shd w:fill="CCEEFF" w:val="clear"/>
            <w:tcMar>
              <w:bottom w:w="28" w:type="dxa"/>
            </w:tcMar>
            <w:vAlign w:val="center"/>
          </w:tcPr>
          <w:p>
            <w:pPr>
              <w:pStyle w:val="TableContents"/>
              <w:bidi w:val="0"/>
              <w:spacing w:before="0" w:after="283"/>
              <w:jc w:val="right"/>
              <w:rPr/>
            </w:pPr>
            <w:r>
              <w:rPr/>
              <w:t>16,198,802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0" w:type="dxa"/>
            <w:tcBorders>
              <w:bottom w:val="double" w:sz="10" w:space="0" w:color="000000"/>
            </w:tcBorders>
            <w:shd w:fill="CCEEFF" w:val="clear"/>
            <w:tcMar>
              <w:bottom w:w="28" w:type="dxa"/>
            </w:tcMar>
            <w:vAlign w:val="center"/>
          </w:tcPr>
          <w:p>
            <w:pPr>
              <w:pStyle w:val="TableContents"/>
              <w:bidi w:val="0"/>
              <w:spacing w:before="0" w:after="283"/>
              <w:jc w:val="right"/>
              <w:rPr/>
            </w:pPr>
            <w:r>
              <w:rPr/>
              <w:t>3.02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34" w:type="dxa"/>
            <w:tcBorders>
              <w:bottom w:val="double" w:sz="10" w:space="0" w:color="000000"/>
            </w:tcBorders>
            <w:shd w:fill="CCEEFF" w:val="clear"/>
            <w:tcMar>
              <w:bottom w:w="28" w:type="dxa"/>
            </w:tcMar>
            <w:vAlign w:val="center"/>
          </w:tcPr>
          <w:p>
            <w:pPr>
              <w:pStyle w:val="TableContents"/>
              <w:bidi w:val="0"/>
              <w:spacing w:before="0" w:after="283"/>
              <w:jc w:val="right"/>
              <w:rPr/>
            </w:pPr>
            <w:r>
              <w:rPr/>
              <w:t>4.64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11" w:type="dxa"/>
            <w:tcBorders>
              <w:bottom w:val="double" w:sz="10" w:space="0" w:color="000000"/>
            </w:tcBorders>
            <w:shd w:fill="CCEEFF" w:val="clear"/>
            <w:tcMar>
              <w:bottom w:w="28" w:type="dxa"/>
            </w:tcMar>
            <w:vAlign w:val="center"/>
          </w:tcPr>
          <w:p>
            <w:pPr>
              <w:pStyle w:val="TableContents"/>
              <w:bidi w:val="0"/>
              <w:spacing w:before="0" w:after="283"/>
              <w:jc w:val="right"/>
              <w:rPr/>
            </w:pPr>
            <w:r>
              <w:rPr/>
              <w:t>75,162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893" w:type="dxa"/>
        <w:jc w:val="left"/>
        <w:tblInd w:w="0" w:type="dxa"/>
        <w:tblLayout w:type="fixed"/>
        <w:tblCellMar>
          <w:top w:w="0" w:type="dxa"/>
          <w:left w:w="0" w:type="dxa"/>
          <w:bottom w:w="0" w:type="dxa"/>
          <w:right w:w="0" w:type="dxa"/>
        </w:tblCellMar>
      </w:tblPr>
      <w:tblGrid>
        <w:gridCol w:w="38"/>
        <w:gridCol w:w="245"/>
        <w:gridCol w:w="761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osition w:val="8"/>
                <w:sz w:val="19"/>
              </w:rPr>
            </w:pPr>
            <w:r>
              <w:rPr>
                <w:position w:val="8"/>
                <w:sz w:val="19"/>
              </w:rPr>
              <w:t>(1)</w:t>
            </w:r>
          </w:p>
        </w:tc>
        <w:tc>
          <w:tcPr>
            <w:tcW w:w="7610" w:type="dxa"/>
            <w:tcBorders/>
            <w:vAlign w:val="center"/>
          </w:tcPr>
          <w:p>
            <w:pPr>
              <w:pStyle w:val="TableContents"/>
              <w:bidi w:val="0"/>
              <w:spacing w:before="0" w:after="283"/>
              <w:jc w:val="both"/>
              <w:rPr/>
            </w:pPr>
            <w:r>
              <w:rPr/>
              <w:t>Recast to reflect the Exchange Ratio established in the Reverse Recapitalization.</w:t>
            </w:r>
          </w:p>
        </w:tc>
      </w:tr>
    </w:tbl>
    <w:p>
      <w:pPr>
        <w:pStyle w:val="TextBody"/>
        <w:bidi w:val="0"/>
        <w:spacing w:before="0" w:after="0"/>
        <w:ind w:left="0" w:right="0" w:hanging="0"/>
        <w:jc w:val="both"/>
        <w:rPr>
          <w:caps w:val="false"/>
          <w:smallCaps w:val="false"/>
        </w:rPr>
      </w:pPr>
      <w:r>
        <w:rPr>
          <w:caps w:val="false"/>
          <w:smallCaps w:val="false"/>
        </w:rPr>
        <w:t> </w:t>
      </w:r>
    </w:p>
    <w:tbl>
      <w:tblPr>
        <w:tblW w:w="9513" w:type="dxa"/>
        <w:jc w:val="left"/>
        <w:tblInd w:w="0" w:type="dxa"/>
        <w:tblLayout w:type="fixed"/>
        <w:tblCellMar>
          <w:top w:w="0" w:type="dxa"/>
          <w:left w:w="0" w:type="dxa"/>
          <w:bottom w:w="0" w:type="dxa"/>
          <w:right w:w="0" w:type="dxa"/>
        </w:tblCellMar>
      </w:tblPr>
      <w:tblGrid>
        <w:gridCol w:w="38"/>
        <w:gridCol w:w="245"/>
        <w:gridCol w:w="92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osition w:val="8"/>
                <w:sz w:val="19"/>
              </w:rPr>
            </w:pPr>
            <w:r>
              <w:rPr>
                <w:position w:val="8"/>
                <w:sz w:val="19"/>
              </w:rPr>
              <w:t>(2)</w:t>
            </w:r>
          </w:p>
        </w:tc>
        <w:tc>
          <w:tcPr>
            <w:tcW w:w="9230" w:type="dxa"/>
            <w:tcBorders/>
            <w:vAlign w:val="center"/>
          </w:tcPr>
          <w:p>
            <w:pPr>
              <w:pStyle w:val="TableContents"/>
              <w:bidi w:val="0"/>
              <w:spacing w:before="0" w:after="283"/>
              <w:jc w:val="both"/>
              <w:rPr/>
            </w:pPr>
            <w:r>
              <w:rPr/>
              <w:t>Shares have been recast to reflect the Exchange Ratio established in the Reverse Recapitalization.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there were 3,261,109 options to purchase Xanadu Class A Multiple Voting Shares and 43,976,507 options to purchase Xanadu Class B Subordinate Voting shares issued and outstanding. There were no options granted during the three months ended March 31, 2026 and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the total intrinsic value of stock options exercised was C$16,869 and C$151,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stock-based compensation expense classified in the consolidated statements of operations and comprehensive loss for the three months ended March 31, 2026 and 2025:</w:t>
      </w:r>
    </w:p>
    <w:p>
      <w:pPr>
        <w:pStyle w:val="TextBody"/>
        <w:bidi w:val="0"/>
        <w:spacing w:before="0" w:after="0"/>
        <w:ind w:left="0" w:right="0" w:firstLine="360"/>
        <w:jc w:val="both"/>
        <w:rPr>
          <w:caps w:val="false"/>
          <w:smallCaps w:val="false"/>
        </w:rPr>
      </w:pPr>
      <w:r>
        <w:rPr>
          <w:caps w:val="false"/>
          <w:smallCaps w:val="false"/>
        </w:rPr>
        <w:t> </w:t>
      </w:r>
    </w:p>
    <w:tbl>
      <w:tblPr>
        <w:tblW w:w="6442" w:type="dxa"/>
        <w:jc w:val="left"/>
        <w:tblInd w:w="0" w:type="dxa"/>
        <w:tblLayout w:type="fixed"/>
        <w:tblCellMar>
          <w:top w:w="0" w:type="dxa"/>
          <w:left w:w="0" w:type="dxa"/>
          <w:bottom w:w="0" w:type="dxa"/>
          <w:right w:w="0" w:type="dxa"/>
        </w:tblCellMar>
      </w:tblPr>
      <w:tblGrid>
        <w:gridCol w:w="4130"/>
        <w:gridCol w:w="60"/>
        <w:gridCol w:w="227"/>
        <w:gridCol w:w="911"/>
        <w:gridCol w:w="97"/>
        <w:gridCol w:w="97"/>
        <w:gridCol w:w="227"/>
        <w:gridCol w:w="618"/>
        <w:gridCol w:w="75"/>
      </w:tblGrid>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March 31,</w:t>
            </w:r>
          </w:p>
        </w:tc>
        <w:tc>
          <w:tcPr>
            <w:tcW w:w="75"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911" w:type="dxa"/>
            <w:tcBorders/>
            <w:shd w:fill="CCEEFF" w:val="clear"/>
            <w:vAlign w:val="center"/>
          </w:tcPr>
          <w:p>
            <w:pPr>
              <w:pStyle w:val="TableContents"/>
              <w:bidi w:val="0"/>
              <w:spacing w:before="0" w:after="283"/>
              <w:jc w:val="right"/>
              <w:rPr/>
            </w:pPr>
            <w:r>
              <w:rPr/>
              <w:t>22</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618" w:type="dxa"/>
            <w:tcBorders/>
            <w:shd w:fill="CCEEFF" w:val="clear"/>
            <w:vAlign w:val="center"/>
          </w:tcPr>
          <w:p>
            <w:pPr>
              <w:pStyle w:val="TableContents"/>
              <w:bidi w:val="0"/>
              <w:spacing w:before="0" w:after="283"/>
              <w:jc w:val="right"/>
              <w:rPr/>
            </w:pPr>
            <w:r>
              <w:rPr/>
              <w:t>10</w:t>
            </w:r>
          </w:p>
        </w:tc>
        <w:tc>
          <w:tcPr>
            <w:tcW w:w="75"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1,013</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right"/>
              <w:rPr/>
            </w:pPr>
            <w:r>
              <w:rPr/>
              <w:t>643</w:t>
            </w:r>
          </w:p>
        </w:tc>
        <w:tc>
          <w:tcPr>
            <w:tcW w:w="75"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351</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618" w:type="dxa"/>
            <w:tcBorders/>
            <w:shd w:fill="CCEEFF" w:val="clear"/>
            <w:vAlign w:val="center"/>
          </w:tcPr>
          <w:p>
            <w:pPr>
              <w:pStyle w:val="TableContents"/>
              <w:bidi w:val="0"/>
              <w:spacing w:before="0" w:after="283"/>
              <w:jc w:val="right"/>
              <w:rPr/>
            </w:pPr>
            <w:r>
              <w:rPr/>
              <w:t>140</w:t>
            </w:r>
          </w:p>
        </w:tc>
        <w:tc>
          <w:tcPr>
            <w:tcW w:w="75"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FFFFFF" w:val="clear"/>
            <w:tcMar>
              <w:bottom w:w="28" w:type="dxa"/>
            </w:tcMar>
            <w:vAlign w:val="center"/>
          </w:tcPr>
          <w:p>
            <w:pPr>
              <w:pStyle w:val="TableContents"/>
              <w:bidi w:val="0"/>
              <w:spacing w:before="0" w:after="283"/>
              <w:jc w:val="right"/>
              <w:rPr/>
            </w:pPr>
            <w:r>
              <w:rPr/>
              <w:t>22</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18" w:type="dxa"/>
            <w:tcBorders>
              <w:bottom w:val="single" w:sz="12" w:space="0" w:color="000000"/>
            </w:tcBorders>
            <w:shd w:fill="FFFFFF" w:val="clear"/>
            <w:tcMar>
              <w:bottom w:w="28" w:type="dxa"/>
            </w:tcMar>
            <w:vAlign w:val="center"/>
          </w:tcPr>
          <w:p>
            <w:pPr>
              <w:pStyle w:val="TableContents"/>
              <w:bidi w:val="0"/>
              <w:spacing w:before="0" w:after="283"/>
              <w:jc w:val="right"/>
              <w:rPr/>
            </w:pPr>
            <w:r>
              <w:rPr/>
              <w:t>18</w:t>
            </w:r>
          </w:p>
        </w:tc>
        <w:tc>
          <w:tcPr>
            <w:tcW w:w="75"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b/>
              </w:rPr>
            </w:pPr>
            <w:r>
              <w:rPr>
                <w:b/>
              </w:rPr>
              <w:t>Total stock-based compensation expense</w:t>
            </w:r>
          </w:p>
        </w:tc>
        <w:tc>
          <w:tcPr>
            <w:tcW w:w="60" w:type="dxa"/>
            <w:tcBorders/>
            <w:shd w:fill="CCEEFF" w:val="clear"/>
            <w:vAlign w:val="center"/>
          </w:tcPr>
          <w:p>
            <w:pPr>
              <w:pStyle w:val="TableContents"/>
              <w:bidi w:val="0"/>
              <w:spacing w:before="0" w:after="283"/>
              <w:jc w:val="left"/>
              <w:rPr/>
            </w:pPr>
            <w:r>
              <w:rPr/>
              <w:t> </w:t>
            </w:r>
          </w:p>
        </w:tc>
        <w:tc>
          <w:tcPr>
            <w:tcW w:w="22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1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1,408</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1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811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capitalized to intangible assets for the three months ended March 31, 2026 and 2025 was $31 and $53, respectively.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total unrecognized stock-based compensation cost related to unvested stock options was $14,203. This amount will be recognized over a weighted-average period of approximately 1.55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 obligations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operating leases for its office space tenancies. As of March 31, 2026 and December 31, 2025, the future minimum lease payments under non-cancellable operating leases over the remaining lease term and the present value of the lease obligations are approximately $8,612 and $7,860,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F-39</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or as otherwise noted)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become a party to various legal proceedings in the ordinary course of business. Management believes that there are currently no claims or actions pending against the Company, the ultimate disposition of which could have a material adverse effect on the Company’s results of operations, financial condition, or cash flows, including third party infringement claims, labor and employment claims and threatened claims, tax and other matters.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Company may agree to indemnify third parties with whom it enters into contractual relationships, including customers, lessors, and parties to other transactions with the Company, with respect to certain matters. Pursuant to these arrangements, the Company indemnifies, holds harmless and agrees to reimburse the indemnified parties for certain losses suffered or incurred by the indemnified party. It is not possible to reasonably estimate the overall maximum amount of these indemnification obligations. Historically, the Company has not been required to make payments under these obligations and, therefore, no liabilities have been recorded for these obligations in the Company’s consolidated balance sheets.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the Company was not subject to any material litigation or material pending litigation claims.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 Net Loss Per Share: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computation of basic and diluted net loss per share attributable to common shareholders for the three months ended March 31, 2026 and 2025:</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00"/>
        <w:gridCol w:w="60"/>
        <w:gridCol w:w="140"/>
        <w:gridCol w:w="1100"/>
        <w:gridCol w:w="95"/>
        <w:gridCol w:w="60"/>
        <w:gridCol w:w="140"/>
        <w:gridCol w:w="1100"/>
        <w:gridCol w:w="110"/>
      </w:tblGrid>
      <w:tr>
        <w:trPr/>
        <w:tc>
          <w:tcPr>
            <w:tcW w:w="7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March 31,</w:t>
            </w:r>
          </w:p>
        </w:tc>
        <w:tc>
          <w:tcPr>
            <w:tcW w:w="110" w:type="dxa"/>
            <w:tcBorders/>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2025 </w:t>
            </w:r>
            <w:r>
              <w:rPr>
                <w:b/>
                <w:position w:val="8"/>
                <w:sz w:val="19"/>
              </w:rPr>
              <w:t>(1)</w:t>
            </w:r>
          </w:p>
        </w:tc>
        <w:tc>
          <w:tcPr>
            <w:tcW w:w="110" w:type="dxa"/>
            <w:tcBorders/>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left"/>
              <w:rPr/>
            </w:pPr>
            <w:r>
              <w:rPr/>
              <w:t>Numerator:</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Net loss attributable to common shareholders,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(20,604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(12,205</w:t>
            </w:r>
          </w:p>
        </w:tc>
        <w:tc>
          <w:tcPr>
            <w:tcW w:w="110" w:type="dxa"/>
            <w:tcBorders/>
            <w:shd w:fill="CCEEFF" w:val="clear"/>
            <w:vAlign w:val="center"/>
          </w:tcPr>
          <w:p>
            <w:pPr>
              <w:pStyle w:val="TableContents"/>
              <w:bidi w:val="0"/>
              <w:spacing w:before="0" w:after="283"/>
              <w:jc w:val="left"/>
              <w:rPr/>
            </w:pPr>
            <w:r>
              <w:rPr/>
              <w:t>)</w:t>
            </w:r>
          </w:p>
        </w:tc>
      </w:tr>
      <w:tr>
        <w:trPr/>
        <w:tc>
          <w:tcPr>
            <w:tcW w:w="7400" w:type="dxa"/>
            <w:tcBorders/>
            <w:shd w:fill="FFFFFF" w:val="clear"/>
            <w:vAlign w:val="center"/>
          </w:tcPr>
          <w:p>
            <w:pPr>
              <w:pStyle w:val="TableContents"/>
              <w:bidi w:val="0"/>
              <w:spacing w:before="0" w:after="283"/>
              <w:jc w:val="left"/>
              <w:rPr/>
            </w:pPr>
            <w:r>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72,458,652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55,649,457</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b/>
              </w:rPr>
            </w:pPr>
            <w:r>
              <w:rPr>
                <w:b/>
              </w:rPr>
              <w:t>Net loss per share attributable to common shareholders,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(0.28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(0.22</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osition w:val="8"/>
                <w:sz w:val="19"/>
              </w:rPr>
            </w:pPr>
            <w:r>
              <w:rPr>
                <w:position w:val="8"/>
                <w:sz w:val="19"/>
              </w:rPr>
              <w:t>(1)</w:t>
            </w:r>
          </w:p>
        </w:tc>
        <w:tc>
          <w:tcPr>
            <w:tcW w:w="9962" w:type="dxa"/>
            <w:tcBorders/>
            <w:vAlign w:val="center"/>
          </w:tcPr>
          <w:p>
            <w:pPr>
              <w:pStyle w:val="TableContents"/>
              <w:bidi w:val="0"/>
              <w:spacing w:before="0" w:after="283"/>
              <w:jc w:val="both"/>
              <w:rPr/>
            </w:pPr>
            <w:r>
              <w:rPr/>
              <w:t>Net loss per share has been recast to reflect the exchange of the Company’s convertible preferred shares and common shares and the equivalent number of shares reflecting the Exchange Ratio established in the Reverse Recapitalization. Refer to Note 3 for additional information.</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two classes of common shares, Xanadu Class A Multiple Voting Shares and Xanadu Class B Subordinate Voting Shares. These shares rank pari passu with respect to participation rights to dividends, liquidation preferences, and therefore, the calculation of net loss per share as described above is identical to the calculation under the two-class method.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Company was in a loss position for all periods presented, basic net loss per share is the same as diluted net loss per share for all periods as the inclusion of all potential common shares outstanding would have been anti-dilutive.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F-40</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Potentially dilutive securities (upon conversion) that were not included in the diluted per share calculations because they would be anti-dilutive were as follows:</w:t>
      </w:r>
    </w:p>
    <w:p>
      <w:pPr>
        <w:pStyle w:val="TextBody"/>
        <w:bidi w:val="0"/>
        <w:spacing w:before="0" w:after="0"/>
        <w:ind w:left="0" w:right="0" w:firstLine="360"/>
        <w:jc w:val="both"/>
        <w:rPr>
          <w:caps w:val="false"/>
          <w:smallCaps w:val="false"/>
        </w:rPr>
      </w:pPr>
      <w:r>
        <w:rPr>
          <w:caps w:val="false"/>
          <w:smallCaps w:val="false"/>
        </w:rPr>
        <w:t> </w:t>
      </w:r>
    </w:p>
    <w:tbl>
      <w:tblPr>
        <w:tblW w:w="7380" w:type="dxa"/>
        <w:jc w:val="left"/>
        <w:tblInd w:w="0" w:type="dxa"/>
        <w:tblLayout w:type="fixed"/>
        <w:tblCellMar>
          <w:top w:w="0" w:type="dxa"/>
          <w:left w:w="0" w:type="dxa"/>
          <w:bottom w:w="0" w:type="dxa"/>
          <w:right w:w="0" w:type="dxa"/>
        </w:tblCellMar>
      </w:tblPr>
      <w:tblGrid>
        <w:gridCol w:w="4685"/>
        <w:gridCol w:w="60"/>
        <w:gridCol w:w="60"/>
        <w:gridCol w:w="1100"/>
        <w:gridCol w:w="60"/>
        <w:gridCol w:w="60"/>
        <w:gridCol w:w="60"/>
        <w:gridCol w:w="1220"/>
        <w:gridCol w:w="75"/>
      </w:tblGrid>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75" w:type="dxa"/>
            <w:tcBorders/>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2025 </w:t>
            </w:r>
            <w:r>
              <w:rPr>
                <w:b/>
                <w:position w:val="8"/>
                <w:sz w:val="19"/>
              </w:rPr>
              <w:t>(1)</w:t>
            </w:r>
          </w:p>
        </w:tc>
        <w:tc>
          <w:tcPr>
            <w:tcW w:w="75" w:type="dxa"/>
            <w:tcBorders/>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pPr>
            <w:r>
              <w:rPr/>
              <w:t>Warrants as exercisable to common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157,960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677,934</w:t>
            </w:r>
          </w:p>
        </w:tc>
        <w:tc>
          <w:tcPr>
            <w:tcW w:w="75"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Stock options issued and 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47,237,616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42,855,647</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pPr>
            <w:r>
              <w:rPr/>
              <w:t>Preferred shares as convertible to common shares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199,930,069</w:t>
            </w:r>
          </w:p>
        </w:tc>
        <w:tc>
          <w:tcPr>
            <w:tcW w:w="75"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47,395,576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243,463,650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osition w:val="8"/>
                <w:sz w:val="19"/>
              </w:rPr>
            </w:pPr>
            <w:r>
              <w:rPr>
                <w:position w:val="8"/>
                <w:sz w:val="19"/>
              </w:rPr>
              <w:t>(1)</w:t>
            </w:r>
          </w:p>
        </w:tc>
        <w:tc>
          <w:tcPr>
            <w:tcW w:w="9940" w:type="dxa"/>
            <w:tcBorders/>
            <w:vAlign w:val="center"/>
          </w:tcPr>
          <w:p>
            <w:pPr>
              <w:pStyle w:val="TableContents"/>
              <w:bidi w:val="0"/>
              <w:spacing w:before="0" w:after="283"/>
              <w:jc w:val="both"/>
              <w:rPr/>
            </w:pPr>
            <w:r>
              <w:rPr/>
              <w:t>Shares have been recast to reflect the Exchange Ratio established in the Reverse Recapitalization. Refer to Note 3 for additional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 Segment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defined as components of an enterprise for which separate discrete information is available for evaluation by the chief operating decision maker (“CODM”) in deciding how to allocate resources and in assessing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CODM is its Chief Executive Officer. The CODM has determined that the Company operates in a single operating and reportable segment and manages segment performance and resource allocation based upon consolidated net loss. The measure of segment assets is reported on the consolidated balance sheets as total consolidated assets. Significant expenses reviewed by the CODM include those that are presented in the consolidated statement of operations and comprehensive loss. The CODM evaluates actual results compared to forecasted results for consolidated net loss, including significant expenses, when making decisions about allocating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Company’s long-lived assets are located in Canada. Refer to Note 12 for additional information about the Company’s revenue by geography.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Company’s segment information of revenue, significant expenses and net loss:</w:t>
      </w:r>
    </w:p>
    <w:p>
      <w:pPr>
        <w:pStyle w:val="TextBody"/>
        <w:bidi w:val="0"/>
        <w:spacing w:before="0" w:after="0"/>
        <w:ind w:left="0" w:right="0" w:firstLine="360"/>
        <w:jc w:val="both"/>
        <w:rPr>
          <w:caps w:val="false"/>
          <w:smallCaps w:val="false"/>
        </w:rPr>
      </w:pPr>
      <w:r>
        <w:rPr>
          <w:caps w:val="false"/>
          <w:smallCaps w:val="false"/>
        </w:rPr>
        <w:t> </w:t>
      </w:r>
    </w:p>
    <w:tbl>
      <w:tblPr>
        <w:tblW w:w="8982" w:type="dxa"/>
        <w:jc w:val="left"/>
        <w:tblInd w:w="0" w:type="dxa"/>
        <w:tblLayout w:type="fixed"/>
        <w:tblCellMar>
          <w:top w:w="0" w:type="dxa"/>
          <w:left w:w="0" w:type="dxa"/>
          <w:bottom w:w="0" w:type="dxa"/>
          <w:right w:w="0" w:type="dxa"/>
        </w:tblCellMar>
      </w:tblPr>
      <w:tblGrid>
        <w:gridCol w:w="6635"/>
        <w:gridCol w:w="60"/>
        <w:gridCol w:w="156"/>
        <w:gridCol w:w="846"/>
        <w:gridCol w:w="106"/>
        <w:gridCol w:w="67"/>
        <w:gridCol w:w="156"/>
        <w:gridCol w:w="846"/>
        <w:gridCol w:w="110"/>
      </w:tblGrid>
      <w:tr>
        <w:trPr/>
        <w:tc>
          <w:tcPr>
            <w:tcW w:w="663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17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March 31,</w:t>
            </w:r>
          </w:p>
        </w:tc>
        <w:tc>
          <w:tcPr>
            <w:tcW w:w="110" w:type="dxa"/>
            <w:tcBorders/>
            <w:vAlign w:val="center"/>
          </w:tcPr>
          <w:p>
            <w:pPr>
              <w:pStyle w:val="TableContents"/>
              <w:bidi w:val="0"/>
              <w:spacing w:before="0" w:after="283"/>
              <w:ind w:left="0" w:right="0" w:hanging="180"/>
              <w:jc w:val="left"/>
              <w:rPr/>
            </w:pPr>
            <w:r>
              <w:rPr/>
              <w:t> </w:t>
            </w:r>
          </w:p>
        </w:tc>
      </w:tr>
      <w:tr>
        <w:trPr/>
        <w:tc>
          <w:tcPr>
            <w:tcW w:w="6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6"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0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180"/>
              <w:jc w:val="left"/>
              <w:rPr/>
            </w:pPr>
            <w:r>
              <w:rPr/>
              <w:t> </w:t>
            </w:r>
          </w:p>
        </w:tc>
      </w:tr>
      <w:tr>
        <w:trPr/>
        <w:tc>
          <w:tcPr>
            <w:tcW w:w="663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846" w:type="dxa"/>
            <w:tcBorders/>
            <w:shd w:fill="CCEEFF" w:val="clear"/>
            <w:vAlign w:val="center"/>
          </w:tcPr>
          <w:p>
            <w:pPr>
              <w:pStyle w:val="TableContents"/>
              <w:bidi w:val="0"/>
              <w:spacing w:before="0" w:after="283"/>
              <w:jc w:val="right"/>
              <w:rPr/>
            </w:pPr>
            <w:r>
              <w:rPr/>
              <w:t>2,832</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846" w:type="dxa"/>
            <w:tcBorders/>
            <w:shd w:fill="CCEEFF" w:val="clear"/>
            <w:vAlign w:val="center"/>
          </w:tcPr>
          <w:p>
            <w:pPr>
              <w:pStyle w:val="TableContents"/>
              <w:bidi w:val="0"/>
              <w:spacing w:before="0" w:after="283"/>
              <w:jc w:val="right"/>
              <w:rPr/>
            </w:pPr>
            <w:r>
              <w:rPr/>
              <w:t>699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635" w:type="dxa"/>
            <w:tcBorders/>
            <w:shd w:fill="FFFFFF" w:val="clear"/>
            <w:vAlign w:val="center"/>
          </w:tcPr>
          <w:p>
            <w:pPr>
              <w:pStyle w:val="TableContents"/>
              <w:bidi w:val="0"/>
              <w:spacing w:before="0" w:after="283"/>
              <w:jc w:val="left"/>
              <w:rPr/>
            </w:pPr>
            <w:r>
              <w:rPr/>
              <w:t>Less: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635" w:type="dxa"/>
            <w:tcBorders/>
            <w:shd w:fill="CCEEFF" w:val="clear"/>
            <w:vAlign w:val="center"/>
          </w:tcPr>
          <w:p>
            <w:pPr>
              <w:pStyle w:val="TableContents"/>
              <w:bidi w:val="0"/>
              <w:spacing w:before="0" w:after="283"/>
              <w:jc w:val="left"/>
              <w:rPr/>
            </w:pPr>
            <w:r>
              <w:rPr/>
              <w:t>Operating expenses excluding salaries and share-based compensation:</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635" w:type="dxa"/>
            <w:tcBorders/>
            <w:shd w:fill="FFFFFF" w:val="clear"/>
            <w:vAlign w:val="center"/>
          </w:tcPr>
          <w:p>
            <w:pPr>
              <w:pStyle w:val="TableContents"/>
              <w:bidi w:val="0"/>
              <w:spacing w:before="0" w:after="283"/>
              <w:jc w:val="left"/>
              <w:rPr/>
            </w:pPr>
            <w:r>
              <w:rPr/>
              <w:t>Cost of revenue (exclusive of depreciation and amortization below)</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48</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63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8,372</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3,016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63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7,989</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980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635"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1,208</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24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635" w:type="dxa"/>
            <w:tcBorders/>
            <w:shd w:fill="FFFFFF" w:val="clear"/>
            <w:vAlign w:val="center"/>
          </w:tcPr>
          <w:p>
            <w:pPr>
              <w:pStyle w:val="TableContents"/>
              <w:bidi w:val="0"/>
              <w:spacing w:before="0" w:after="283"/>
              <w:jc w:val="left"/>
              <w:rPr/>
            </w:pPr>
            <w:r>
              <w:rPr/>
              <w:t>Salaries and share-based compensation expense</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11,004</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8,173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63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1,617</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1,277</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635" w:type="dxa"/>
            <w:tcBorders/>
            <w:shd w:fill="FFFFFF" w:val="clear"/>
            <w:vAlign w:val="center"/>
          </w:tcPr>
          <w:p>
            <w:pPr>
              <w:pStyle w:val="TableContents"/>
              <w:bidi w:val="0"/>
              <w:spacing w:before="0" w:after="283"/>
              <w:jc w:val="left"/>
              <w:rPr/>
            </w:pPr>
            <w:r>
              <w:rPr/>
              <w:t>Interest (income) expense, net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190</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(553</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635" w:type="dxa"/>
            <w:tcBorders/>
            <w:shd w:fill="CCEEFF" w:val="clear"/>
            <w:vAlign w:val="center"/>
          </w:tcPr>
          <w:p>
            <w:pPr>
              <w:pStyle w:val="TableContents"/>
              <w:bidi w:val="0"/>
              <w:spacing w:before="0" w:after="283"/>
              <w:jc w:val="left"/>
              <w:rPr/>
            </w:pPr>
            <w:r>
              <w:rPr/>
              <w:t>Other segment items</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6" w:type="dxa"/>
            <w:tcBorders>
              <w:bottom w:val="single" w:sz="12" w:space="0" w:color="000000"/>
            </w:tcBorders>
            <w:shd w:fill="CCEEFF" w:val="clear"/>
            <w:tcMar>
              <w:bottom w:w="28" w:type="dxa"/>
            </w:tcMar>
            <w:vAlign w:val="center"/>
          </w:tcPr>
          <w:p>
            <w:pPr>
              <w:pStyle w:val="TableContents"/>
              <w:bidi w:val="0"/>
              <w:spacing w:before="0" w:after="283"/>
              <w:jc w:val="right"/>
              <w:rPr/>
            </w:pPr>
            <w:r>
              <w:rPr/>
              <w:t>(6,992</w:t>
            </w:r>
          </w:p>
        </w:tc>
        <w:tc>
          <w:tcPr>
            <w:tcW w:w="106"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6" w:type="dxa"/>
            <w:tcBorders>
              <w:bottom w:val="single" w:sz="12" w:space="0" w:color="000000"/>
            </w:tcBorders>
            <w:shd w:fill="CCEEFF" w:val="clear"/>
            <w:tcMar>
              <w:bottom w:w="28" w:type="dxa"/>
            </w:tcMar>
            <w:vAlign w:val="center"/>
          </w:tcPr>
          <w:p>
            <w:pPr>
              <w:pStyle w:val="TableContents"/>
              <w:bidi w:val="0"/>
              <w:spacing w:before="0" w:after="283"/>
              <w:jc w:val="right"/>
              <w:rPr/>
            </w:pPr>
            <w:r>
              <w:rPr/>
              <w:t>(18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635"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46" w:type="dxa"/>
            <w:tcBorders>
              <w:bottom w:val="double" w:sz="10" w:space="0" w:color="000000"/>
            </w:tcBorders>
            <w:shd w:fill="FFFFFF" w:val="clear"/>
            <w:tcMar>
              <w:bottom w:w="28" w:type="dxa"/>
            </w:tcMar>
            <w:vAlign w:val="center"/>
          </w:tcPr>
          <w:p>
            <w:pPr>
              <w:pStyle w:val="TableContents"/>
              <w:bidi w:val="0"/>
              <w:spacing w:before="0" w:after="283"/>
              <w:jc w:val="right"/>
              <w:rPr/>
            </w:pPr>
            <w:r>
              <w:rPr/>
              <w:t>(20,604</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46" w:type="dxa"/>
            <w:tcBorders>
              <w:bottom w:val="double" w:sz="10" w:space="0" w:color="000000"/>
            </w:tcBorders>
            <w:shd w:fill="FFFFFF" w:val="clear"/>
            <w:tcMar>
              <w:bottom w:w="28" w:type="dxa"/>
            </w:tcMar>
            <w:vAlign w:val="center"/>
          </w:tcPr>
          <w:p>
            <w:pPr>
              <w:pStyle w:val="TableContents"/>
              <w:bidi w:val="0"/>
              <w:spacing w:before="0" w:after="283"/>
              <w:jc w:val="right"/>
              <w:rPr/>
            </w:pPr>
            <w:r>
              <w:rPr/>
              <w:t>(12,205</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osition w:val="8"/>
                <w:sz w:val="19"/>
              </w:rPr>
            </w:pPr>
            <w:r>
              <w:rPr>
                <w:position w:val="8"/>
                <w:sz w:val="19"/>
              </w:rPr>
              <w:t>(1)</w:t>
            </w:r>
          </w:p>
        </w:tc>
        <w:tc>
          <w:tcPr>
            <w:tcW w:w="9956" w:type="dxa"/>
            <w:tcBorders/>
            <w:vAlign w:val="center"/>
          </w:tcPr>
          <w:p>
            <w:pPr>
              <w:pStyle w:val="TableContents"/>
              <w:bidi w:val="0"/>
              <w:spacing w:before="0" w:after="283"/>
              <w:jc w:val="both"/>
              <w:rPr/>
            </w:pPr>
            <w:r>
              <w:rPr/>
              <w:t>Other segment items include other operating income, net, gain on fair value of earn-out liabilities and other (income) expense, net which are reflected in the consolidated statements of operations and comprehensive loss.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or as otherwise noted)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18 - Subsequent Events: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all events occurring through May 14, 2026, the date on which the Interim Financial Statements were issued, and during which time, nothing has occurred outside the normal course of business operations that would require disclosure except the following: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3 - Reverse Recapitalization, in connection with the Closing of the Reverse Recapitalization, SPAC Sponsor entered into an agreement pursuant to which 1,100,000 Earn-out Shares were made subject to post-closing vesting and forfeiture conditions tied to the achievement of certain stock price thresholds (the “Earn-Out Triggers”) during the four-year period from the closing date as described in Note 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the Earn-Out Triggers were satisfied, as the closing share price of the Company’s Class B Subordinate Voting Shares equaled or exceeded the required minimum share prices for 20 trading days within a 30 consecutive trading day period during the Vesting Term. Accordingly, all 1,100,000 lock up securities have vested and are no longer subject to forfeiture.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achievement of each Earn-Out Trigger, the Company will reflect the settlement of the earn-out share liability by re-measuring the earn-out share liability at fair value at the point of time the Earn Out Trigger is met and then reclassifying the fair value of the liability to share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F-42</w:t>
      </w:r>
    </w:p>
    <w:p>
      <w:pPr>
        <w:pStyle w:val="TextBody"/>
        <w:bidi w:val="0"/>
        <w:spacing w:before="0" w:after="0"/>
        <w:ind w:left="0" w:right="0" w:hanging="0"/>
        <w:jc w:val="left"/>
        <w:rPr/>
      </w:pPr>
      <w:r>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bookmarkStart w:id="48" w:name="k_012"/>
      <w:bookmarkEnd w:id="48"/>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w:t>
        <w:br/>
        <w:t>Xanadu Quantum Technologies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Opinion on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Xanadu Quantum Technologies Inc. and subsidiaries (the Company) as of December 31, 2025 and 2024, the related consolidated statements of operations and comprehensive loss, shareholders’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KPMG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Toronto, Canada</w:t>
        <w:br/>
        <w:t>April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49" w:name="k_013"/>
      <w:bookmarkEnd w:id="49"/>
      <w:r>
        <w:rPr>
          <w:rFonts w:ascii="Times New Roman;Times;Serif" w:hAnsi="Times New Roman;Times;Serif"/>
          <w:b/>
          <w:i w:val="false"/>
          <w:smallCaps/>
          <w:sz w:val="20"/>
        </w:rPr>
        <w:t>Xanadu Quantum Technologies Inc.</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Consolidated Balance Sheets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68"/>
        <w:gridCol w:w="60"/>
        <w:gridCol w:w="140"/>
        <w:gridCol w:w="875"/>
        <w:gridCol w:w="95"/>
        <w:gridCol w:w="60"/>
        <w:gridCol w:w="140"/>
        <w:gridCol w:w="875"/>
        <w:gridCol w:w="92"/>
      </w:tblGrid>
      <w:tr>
        <w:trPr/>
        <w:tc>
          <w:tcPr>
            <w:tcW w:w="78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92" w:type="dxa"/>
            <w:tcBorders/>
            <w:vAlign w:val="center"/>
          </w:tcPr>
          <w:p>
            <w:pPr>
              <w:pStyle w:val="TableContents"/>
              <w:bidi w:val="0"/>
              <w:spacing w:before="0" w:after="283"/>
              <w:jc w:val="left"/>
              <w:rPr/>
            </w:pPr>
            <w:r>
              <w:rPr/>
              <w:t> </w:t>
            </w:r>
          </w:p>
        </w:tc>
      </w:tr>
      <w:tr>
        <w:trPr/>
        <w:tc>
          <w:tcPr>
            <w:tcW w:w="78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2" w:type="dxa"/>
            <w:tcBorders/>
            <w:vAlign w:val="center"/>
          </w:tcPr>
          <w:p>
            <w:pPr>
              <w:pStyle w:val="TableContents"/>
              <w:bidi w:val="0"/>
              <w:spacing w:before="0" w:after="283"/>
              <w:jc w:val="left"/>
              <w:rPr/>
            </w:pPr>
            <w:r>
              <w:rPr/>
              <w:t> </w:t>
            </w:r>
          </w:p>
        </w:tc>
      </w:tr>
      <w:tr>
        <w:trPr/>
        <w:tc>
          <w:tcPr>
            <w:tcW w:w="7868"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r>
      <w:tr>
        <w:trPr/>
        <w:tc>
          <w:tcPr>
            <w:tcW w:w="7868"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ind w:left="0" w:right="0" w:hanging="200"/>
              <w:jc w:val="left"/>
              <w:rPr/>
            </w:pPr>
            <w:r>
              <w:rPr/>
              <w:t> </w:t>
            </w:r>
          </w:p>
        </w:tc>
      </w:tr>
      <w:tr>
        <w:trPr/>
        <w:tc>
          <w:tcPr>
            <w:tcW w:w="7868"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16,164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77,619</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868"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9,477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1,259</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868" w:type="dxa"/>
            <w:tcBorders/>
            <w:shd w:fill="CCEEFF" w:val="clear"/>
            <w:vAlign w:val="center"/>
          </w:tcPr>
          <w:p>
            <w:pPr>
              <w:pStyle w:val="TableContents"/>
              <w:bidi w:val="0"/>
              <w:spacing w:before="0" w:after="283"/>
              <w:jc w:val="left"/>
              <w:rPr/>
            </w:pPr>
            <w:r>
              <w:rPr/>
              <w:t>Materials and supplies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8,344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3,198</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868"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6,229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8,291</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868"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40,214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90,367</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868"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18,313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15,376</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868" w:type="dxa"/>
            <w:tcBorders/>
            <w:shd w:fill="CCEEFF" w:val="clear"/>
            <w:vAlign w:val="center"/>
          </w:tcPr>
          <w:p>
            <w:pPr>
              <w:pStyle w:val="TableContents"/>
              <w:bidi w:val="0"/>
              <w:spacing w:before="0" w:after="283"/>
              <w:jc w:val="left"/>
              <w:rPr/>
            </w:pPr>
            <w:r>
              <w:rPr/>
              <w:t>Operating right-of-use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6,949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7,490</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868"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5,128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3,532</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868"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70,604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116,765</w:t>
            </w:r>
          </w:p>
        </w:tc>
        <w:tc>
          <w:tcPr>
            <w:tcW w:w="92" w:type="dxa"/>
            <w:tcBorders/>
            <w:shd w:fill="CCEEFF" w:val="clear"/>
            <w:vAlign w:val="center"/>
          </w:tcPr>
          <w:p>
            <w:pPr>
              <w:pStyle w:val="TableContents"/>
              <w:bidi w:val="0"/>
              <w:spacing w:before="0" w:after="283"/>
              <w:jc w:val="left"/>
              <w:rPr/>
            </w:pPr>
            <w:r>
              <w:rPr/>
              <w:t> </w:t>
            </w:r>
          </w:p>
        </w:tc>
      </w:tr>
      <w:tr>
        <w:trPr/>
        <w:tc>
          <w:tcPr>
            <w:tcW w:w="78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868" w:type="dxa"/>
            <w:tcBorders/>
            <w:shd w:fill="CCEEFF" w:val="clear"/>
            <w:vAlign w:val="center"/>
          </w:tcPr>
          <w:p>
            <w:pPr>
              <w:pStyle w:val="TableContents"/>
              <w:bidi w:val="0"/>
              <w:spacing w:before="0" w:after="283"/>
              <w:jc w:val="left"/>
              <w:rPr>
                <w:b/>
              </w:rPr>
            </w:pPr>
            <w:r>
              <w:rPr>
                <w:b/>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868"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868"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2,802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1,652</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868"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2,191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2,169</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868"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309</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868" w:type="dxa"/>
            <w:tcBorders/>
            <w:shd w:fill="FFFFFF" w:val="clear"/>
            <w:vAlign w:val="center"/>
          </w:tcPr>
          <w:p>
            <w:pPr>
              <w:pStyle w:val="TableContents"/>
              <w:bidi w:val="0"/>
              <w:spacing w:before="0" w:after="283"/>
              <w:jc w:val="left"/>
              <w:rPr/>
            </w:pPr>
            <w:r>
              <w:rPr/>
              <w:t>Deferred grant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868" w:type="dxa"/>
            <w:tcBorders/>
            <w:shd w:fill="CCEEFF" w:val="clear"/>
            <w:vAlign w:val="center"/>
          </w:tcPr>
          <w:p>
            <w:pPr>
              <w:pStyle w:val="TableContents"/>
              <w:bidi w:val="0"/>
              <w:spacing w:before="0" w:after="283"/>
              <w:jc w:val="left"/>
              <w:rPr/>
            </w:pPr>
            <w:r>
              <w:rPr/>
              <w:t>Short-term 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996</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868" w:type="dxa"/>
            <w:tcBorders/>
            <w:shd w:fill="FFFFFF" w:val="clear"/>
            <w:vAlign w:val="center"/>
          </w:tcPr>
          <w:p>
            <w:pPr>
              <w:pStyle w:val="TableContents"/>
              <w:bidi w:val="0"/>
              <w:spacing w:before="0" w:after="283"/>
              <w:jc w:val="left"/>
              <w:rPr/>
            </w:pPr>
            <w:r>
              <w:rPr/>
              <w:t>Warrant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1,874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258</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868"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8,977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5,384</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868" w:type="dxa"/>
            <w:tcBorders/>
            <w:shd w:fill="FFFFFF" w:val="clear"/>
            <w:vAlign w:val="center"/>
          </w:tcPr>
          <w:p>
            <w:pPr>
              <w:pStyle w:val="TableContents"/>
              <w:bidi w:val="0"/>
              <w:spacing w:before="0" w:after="283"/>
              <w:jc w:val="left"/>
              <w:rPr/>
            </w:pPr>
            <w:r>
              <w:rPr/>
              <w:t>Long-term 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7,877</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868" w:type="dxa"/>
            <w:tcBorders/>
            <w:shd w:fill="CCEEFF" w:val="clear"/>
            <w:vAlign w:val="center"/>
          </w:tcPr>
          <w:p>
            <w:pPr>
              <w:pStyle w:val="TableContents"/>
              <w:bidi w:val="0"/>
              <w:spacing w:before="0" w:after="283"/>
              <w:jc w:val="left"/>
              <w:rPr/>
            </w:pPr>
            <w:r>
              <w:rPr/>
              <w:t>Long-term debt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29,998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16,009</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868"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46,160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29,270</w:t>
            </w:r>
          </w:p>
        </w:tc>
        <w:tc>
          <w:tcPr>
            <w:tcW w:w="92" w:type="dxa"/>
            <w:tcBorders/>
            <w:shd w:fill="FFFFFF" w:val="clear"/>
            <w:vAlign w:val="center"/>
          </w:tcPr>
          <w:p>
            <w:pPr>
              <w:pStyle w:val="TableContents"/>
              <w:bidi w:val="0"/>
              <w:spacing w:before="0" w:after="283"/>
              <w:jc w:val="left"/>
              <w:rPr/>
            </w:pPr>
            <w:r>
              <w:rPr/>
              <w:t> </w:t>
            </w:r>
          </w:p>
        </w:tc>
      </w:tr>
      <w:tr>
        <w:trPr/>
        <w:tc>
          <w:tcPr>
            <w:tcW w:w="78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r>
      <w:tr>
        <w:trPr/>
        <w:tc>
          <w:tcPr>
            <w:tcW w:w="7868" w:type="dxa"/>
            <w:tcBorders/>
            <w:shd w:fill="FFFFFF" w:val="clear"/>
            <w:vAlign w:val="center"/>
          </w:tcPr>
          <w:p>
            <w:pPr>
              <w:pStyle w:val="TableContents"/>
              <w:bidi w:val="0"/>
              <w:spacing w:before="0" w:after="283"/>
              <w:jc w:val="left"/>
              <w:rPr/>
            </w:pPr>
            <w:r>
              <w:rPr/>
              <w:t>Commitments and contingencies (note 19)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jc w:val="left"/>
              <w:rPr/>
            </w:pPr>
            <w:r>
              <w:rPr/>
              <w:t> </w:t>
            </w:r>
          </w:p>
        </w:tc>
      </w:tr>
      <w:tr>
        <w:trPr/>
        <w:tc>
          <w:tcPr>
            <w:tcW w:w="78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868" w:type="dxa"/>
            <w:tcBorders/>
            <w:shd w:fill="FFFFFF" w:val="clear"/>
            <w:vAlign w:val="center"/>
          </w:tcPr>
          <w:p>
            <w:pPr>
              <w:pStyle w:val="TableContents"/>
              <w:bidi w:val="0"/>
              <w:spacing w:before="0" w:after="283"/>
              <w:jc w:val="left"/>
              <w:rPr/>
            </w:pPr>
            <w:r>
              <w:rPr/>
              <w:t>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868" w:type="dxa"/>
            <w:tcBorders/>
            <w:shd w:fill="CCEEFF" w:val="clear"/>
            <w:vAlign w:val="center"/>
          </w:tcPr>
          <w:p>
            <w:pPr>
              <w:pStyle w:val="TableContents"/>
              <w:bidi w:val="0"/>
              <w:spacing w:before="0" w:after="283"/>
              <w:jc w:val="left"/>
              <w:rPr/>
            </w:pPr>
            <w:r>
              <w:rPr/>
              <w:t>Common shares, no par value, 29,788,450 shares authorized, 4,959,800 and 4,924,563 shares issued and outstanding at December 31, 2025 and 2024,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7,585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7,399</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868" w:type="dxa"/>
            <w:tcBorders/>
            <w:shd w:fill="FFFFFF" w:val="clear"/>
            <w:vAlign w:val="center"/>
          </w:tcPr>
          <w:p>
            <w:pPr>
              <w:pStyle w:val="TableContents"/>
              <w:bidi w:val="0"/>
              <w:spacing w:before="0" w:after="283"/>
              <w:jc w:val="left"/>
              <w:rPr/>
            </w:pPr>
            <w:r>
              <w:rPr/>
              <w:t>Convertible preferred shares, no par value, 18,104,551 shares authorized, 17,718,491 issued and outstanding at both December 31, 2025 and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213,002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213,002</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868"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10,151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5,937</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868"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(206,303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(135,636</w:t>
            </w:r>
          </w:p>
        </w:tc>
        <w:tc>
          <w:tcPr>
            <w:tcW w:w="92" w:type="dxa"/>
            <w:tcBorders/>
            <w:shd w:fill="FFFFFF" w:val="clear"/>
            <w:vAlign w:val="center"/>
          </w:tcPr>
          <w:p>
            <w:pPr>
              <w:pStyle w:val="TableContents"/>
              <w:bidi w:val="0"/>
              <w:spacing w:before="0" w:after="283"/>
              <w:ind w:left="0" w:right="0" w:hanging="200"/>
              <w:jc w:val="left"/>
              <w:rPr/>
            </w:pPr>
            <w:r>
              <w:rPr/>
              <w:t>)</w:t>
            </w:r>
          </w:p>
        </w:tc>
      </w:tr>
      <w:tr>
        <w:trPr/>
        <w:tc>
          <w:tcPr>
            <w:tcW w:w="7868" w:type="dxa"/>
            <w:tcBorders/>
            <w:shd w:fill="CCEEFF" w:val="clear"/>
            <w:vAlign w:val="center"/>
          </w:tcPr>
          <w:p>
            <w:pPr>
              <w:pStyle w:val="TableContents"/>
              <w:bidi w:val="0"/>
              <w:spacing w:before="0" w:after="283"/>
              <w:jc w:val="left"/>
              <w:rPr/>
            </w:pPr>
            <w:r>
              <w:rPr/>
              <w:t>Accumulated other comprehensive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(3,207</w:t>
            </w:r>
          </w:p>
        </w:tc>
        <w:tc>
          <w:tcPr>
            <w:tcW w:w="92" w:type="dxa"/>
            <w:tcBorders/>
            <w:shd w:fill="CCEEFF" w:val="clear"/>
            <w:vAlign w:val="center"/>
          </w:tcPr>
          <w:p>
            <w:pPr>
              <w:pStyle w:val="TableContents"/>
              <w:bidi w:val="0"/>
              <w:spacing w:before="0" w:after="283"/>
              <w:ind w:left="0" w:right="0" w:hanging="200"/>
              <w:jc w:val="left"/>
              <w:rPr/>
            </w:pPr>
            <w:r>
              <w:rPr/>
              <w:t>)</w:t>
            </w:r>
          </w:p>
        </w:tc>
      </w:tr>
      <w:tr>
        <w:trPr/>
        <w:tc>
          <w:tcPr>
            <w:tcW w:w="7868" w:type="dxa"/>
            <w:tcBorders/>
            <w:shd w:fill="FFFFFF" w:val="clear"/>
            <w:vAlign w:val="center"/>
          </w:tcPr>
          <w:p>
            <w:pPr>
              <w:pStyle w:val="TableContents"/>
              <w:bidi w:val="0"/>
              <w:spacing w:before="0" w:after="283"/>
              <w:jc w:val="left"/>
              <w:rPr>
                <w:b/>
              </w:rPr>
            </w:pPr>
            <w:r>
              <w:rPr>
                <w:b/>
              </w:rPr>
              <w:t>Total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24,444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87,495</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868" w:type="dxa"/>
            <w:tcBorders/>
            <w:shd w:fill="CCEEFF" w:val="clear"/>
            <w:vAlign w:val="center"/>
          </w:tcPr>
          <w:p>
            <w:pPr>
              <w:pStyle w:val="TableContents"/>
              <w:bidi w:val="0"/>
              <w:spacing w:before="0" w:after="283"/>
              <w:jc w:val="left"/>
              <w:rPr>
                <w:b/>
              </w:rPr>
            </w:pPr>
            <w:r>
              <w:rPr>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70,604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116,765</w:t>
            </w:r>
          </w:p>
        </w:tc>
        <w:tc>
          <w:tcPr>
            <w:tcW w:w="92"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events (note 22)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 behalf of the Board of Directors</w:t>
      </w:r>
    </w:p>
    <w:p>
      <w:pPr>
        <w:pStyle w:val="TextBody"/>
        <w:bidi w:val="0"/>
        <w:spacing w:before="0" w:after="0"/>
        <w:jc w:val="both"/>
        <w:rPr>
          <w:caps w:val="false"/>
          <w:smallCaps w:val="false"/>
        </w:rPr>
      </w:pPr>
      <w:r>
        <w:rPr>
          <w:caps w:val="false"/>
          <w:smallCaps w:val="false"/>
        </w:rPr>
        <w:t> </w:t>
      </w:r>
    </w:p>
    <w:tbl>
      <w:tblPr>
        <w:tblW w:w="6310" w:type="dxa"/>
        <w:jc w:val="left"/>
        <w:tblInd w:w="0" w:type="dxa"/>
        <w:tblLayout w:type="fixed"/>
        <w:tblCellMar>
          <w:top w:w="0" w:type="dxa"/>
          <w:left w:w="0" w:type="dxa"/>
          <w:bottom w:w="28" w:type="dxa"/>
          <w:right w:w="0" w:type="dxa"/>
        </w:tblCellMar>
      </w:tblPr>
      <w:tblGrid>
        <w:gridCol w:w="3305"/>
        <w:gridCol w:w="60"/>
        <w:gridCol w:w="2945"/>
      </w:tblGrid>
      <w:tr>
        <w:trPr/>
        <w:tc>
          <w:tcPr>
            <w:tcW w:w="3305" w:type="dxa"/>
            <w:tcBorders>
              <w:bottom w:val="single" w:sz="12" w:space="0" w:color="000000"/>
            </w:tcBorders>
            <w:vAlign w:val="center"/>
          </w:tcPr>
          <w:p>
            <w:pPr>
              <w:pStyle w:val="TableContents"/>
              <w:bidi w:val="0"/>
              <w:spacing w:before="0" w:after="283"/>
              <w:jc w:val="center"/>
              <w:rPr>
                <w:sz w:val="20"/>
              </w:rPr>
            </w:pPr>
            <w:r>
              <w:rPr>
                <w:sz w:val="20"/>
              </w:rPr>
              <w:t>/s/ Christian Weedbrook</w:t>
            </w:r>
          </w:p>
        </w:tc>
        <w:tc>
          <w:tcPr>
            <w:tcW w:w="60" w:type="dxa"/>
            <w:tcBorders/>
            <w:tcMar>
              <w:bottom w:w="0" w:type="dxa"/>
            </w:tcMar>
            <w:vAlign w:val="center"/>
          </w:tcPr>
          <w:p>
            <w:pPr>
              <w:pStyle w:val="TableContents"/>
              <w:bidi w:val="0"/>
              <w:spacing w:before="0" w:after="283"/>
              <w:jc w:val="center"/>
              <w:rPr/>
            </w:pPr>
            <w:r>
              <w:rPr/>
              <w:t> </w:t>
            </w:r>
          </w:p>
        </w:tc>
        <w:tc>
          <w:tcPr>
            <w:tcW w:w="2945" w:type="dxa"/>
            <w:tcBorders>
              <w:bottom w:val="single" w:sz="12" w:space="0" w:color="000000"/>
            </w:tcBorders>
            <w:vAlign w:val="center"/>
          </w:tcPr>
          <w:p>
            <w:pPr>
              <w:pStyle w:val="TableContents"/>
              <w:bidi w:val="0"/>
              <w:spacing w:before="0" w:after="283"/>
              <w:jc w:val="center"/>
              <w:rPr>
                <w:sz w:val="20"/>
              </w:rPr>
            </w:pPr>
            <w:r>
              <w:rPr>
                <w:sz w:val="20"/>
              </w:rPr>
              <w:t>/s/ Michael Trzupek</w:t>
            </w:r>
          </w:p>
        </w:tc>
      </w:tr>
      <w:tr>
        <w:trPr/>
        <w:tc>
          <w:tcPr>
            <w:tcW w:w="3305" w:type="dxa"/>
            <w:tcBorders/>
            <w:tcMar>
              <w:bottom w:w="0" w:type="dxa"/>
            </w:tcMar>
            <w:vAlign w:val="center"/>
          </w:tcPr>
          <w:p>
            <w:pPr>
              <w:pStyle w:val="TableContents"/>
              <w:bidi w:val="0"/>
              <w:spacing w:before="0" w:after="283"/>
              <w:jc w:val="center"/>
              <w:rPr>
                <w:sz w:val="20"/>
              </w:rPr>
            </w:pPr>
            <w:r>
              <w:rPr>
                <w:sz w:val="20"/>
              </w:rPr>
              <w:t>Christian Weedbrook, CEO and Director</w:t>
            </w:r>
          </w:p>
        </w:tc>
        <w:tc>
          <w:tcPr>
            <w:tcW w:w="60" w:type="dxa"/>
            <w:tcBorders/>
            <w:tcMar>
              <w:bottom w:w="0" w:type="dxa"/>
            </w:tcMar>
            <w:vAlign w:val="center"/>
          </w:tcPr>
          <w:p>
            <w:pPr>
              <w:pStyle w:val="TableContents"/>
              <w:bidi w:val="0"/>
              <w:spacing w:before="0" w:after="283"/>
              <w:jc w:val="center"/>
              <w:rPr/>
            </w:pPr>
            <w:r>
              <w:rPr/>
              <w:t> </w:t>
            </w:r>
          </w:p>
        </w:tc>
        <w:tc>
          <w:tcPr>
            <w:tcW w:w="2945" w:type="dxa"/>
            <w:tcBorders/>
            <w:tcMar>
              <w:bottom w:w="0" w:type="dxa"/>
            </w:tcMar>
            <w:vAlign w:val="center"/>
          </w:tcPr>
          <w:p>
            <w:pPr>
              <w:pStyle w:val="TableContents"/>
              <w:bidi w:val="0"/>
              <w:spacing w:before="0" w:after="283"/>
              <w:jc w:val="center"/>
              <w:rPr>
                <w:sz w:val="20"/>
              </w:rPr>
            </w:pPr>
            <w:r>
              <w:rPr>
                <w:sz w:val="20"/>
              </w:rPr>
              <w:t>Michael Trzupek, CFO and Director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F-44</w:t>
      </w:r>
    </w:p>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bookmarkStart w:id="50" w:name="k_014"/>
      <w:bookmarkEnd w:id="50"/>
      <w:r>
        <w:rPr>
          <w:b/>
          <w:smallCaps/>
        </w:rPr>
        <w:t>Xanadu Quantum Technologies Inc.</w:t>
      </w:r>
      <w:r>
        <w:rPr/>
        <w:br/>
      </w:r>
      <w:r>
        <w:rPr>
          <w:b/>
        </w:rPr>
        <w:t>Consolidated Statements of Operations and Comprehensive Loss</w:t>
      </w:r>
      <w:r>
        <w:rPr/>
        <w:br/>
      </w:r>
      <w:r>
        <w:rPr>
          <w:b/>
        </w:rPr>
        <w:t>(In thousands, except for share and per share amounts)</w:t>
      </w:r>
    </w:p>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6365"/>
        <w:gridCol w:w="60"/>
        <w:gridCol w:w="140"/>
        <w:gridCol w:w="980"/>
        <w:gridCol w:w="95"/>
        <w:gridCol w:w="60"/>
        <w:gridCol w:w="140"/>
        <w:gridCol w:w="980"/>
        <w:gridCol w:w="95"/>
        <w:gridCol w:w="60"/>
        <w:gridCol w:w="140"/>
        <w:gridCol w:w="980"/>
        <w:gridCol w:w="110"/>
      </w:tblGrid>
      <w:tr>
        <w:trPr/>
        <w:tc>
          <w:tcPr>
            <w:tcW w:w="6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7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ind w:left="0" w:right="0" w:hanging="200"/>
              <w:jc w:val="left"/>
              <w:rPr/>
            </w:pPr>
            <w:r>
              <w:rPr/>
              <w:t> </w:t>
            </w:r>
          </w:p>
        </w:tc>
      </w:tr>
      <w:tr>
        <w:trPr/>
        <w:tc>
          <w:tcPr>
            <w:tcW w:w="636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4,617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1,589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2,479</w:t>
            </w:r>
          </w:p>
        </w:tc>
        <w:tc>
          <w:tcPr>
            <w:tcW w:w="11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36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365" w:type="dxa"/>
            <w:tcBorders/>
            <w:shd w:fill="FFFFFF" w:val="clear"/>
            <w:vAlign w:val="center"/>
          </w:tcPr>
          <w:p>
            <w:pPr>
              <w:pStyle w:val="TableContents"/>
              <w:bidi w:val="0"/>
              <w:spacing w:before="0" w:after="283"/>
              <w:jc w:val="left"/>
              <w:rPr/>
            </w:pPr>
            <w:r>
              <w:rPr/>
              <w:t>Cost of revenue (exclusive of depreciation and amortization below)</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605</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36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55,237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39,223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35,718</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36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15,415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6,863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6,034</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365"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607</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365"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5,849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4,869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3,730</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365" w:type="dxa"/>
            <w:tcBorders/>
            <w:shd w:fill="CCEEFF" w:val="clear"/>
            <w:vAlign w:val="center"/>
          </w:tcPr>
          <w:p>
            <w:pPr>
              <w:pStyle w:val="TableContents"/>
              <w:bidi w:val="0"/>
              <w:spacing w:before="0" w:after="283"/>
              <w:jc w:val="left"/>
              <w:rPr/>
            </w:pPr>
            <w:r>
              <w:rPr/>
              <w:t>Other operating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(4,113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(2,518</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636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73,939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52,185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44,176</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365"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(69,322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(50,596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(41,697</w:t>
            </w:r>
          </w:p>
        </w:tc>
        <w:tc>
          <w:tcPr>
            <w:tcW w:w="110" w:type="dxa"/>
            <w:tcBorders/>
            <w:shd w:fill="CCEEFF" w:val="clear"/>
            <w:vAlign w:val="center"/>
          </w:tcPr>
          <w:p>
            <w:pPr>
              <w:pStyle w:val="TableContents"/>
              <w:bidi w:val="0"/>
              <w:spacing w:before="0" w:after="283"/>
              <w:jc w:val="left"/>
              <w:rPr/>
            </w:pPr>
            <w:r>
              <w:rPr/>
              <w:t>)</w:t>
            </w:r>
          </w:p>
        </w:tc>
      </w:tr>
      <w:tr>
        <w:trPr/>
        <w:tc>
          <w:tcPr>
            <w:tcW w:w="6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365" w:type="dxa"/>
            <w:tcBorders/>
            <w:shd w:fill="CCEEFF" w:val="clear"/>
            <w:vAlign w:val="center"/>
          </w:tcPr>
          <w:p>
            <w:pPr>
              <w:pStyle w:val="TableContents"/>
              <w:bidi w:val="0"/>
              <w:spacing w:before="0" w:after="283"/>
              <w:jc w:val="left"/>
              <w:rPr>
                <w:b/>
              </w:rPr>
            </w:pPr>
            <w:r>
              <w:rPr>
                <w:b/>
              </w:rPr>
              <w:t>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365" w:type="dxa"/>
            <w:tcBorders/>
            <w:shd w:fill="FFFFFF" w:val="clear"/>
            <w:vAlign w:val="center"/>
          </w:tcPr>
          <w:p>
            <w:pPr>
              <w:pStyle w:val="TableContents"/>
              <w:bidi w:val="0"/>
              <w:spacing w:before="0" w:after="283"/>
              <w:jc w:val="left"/>
              <w:rPr/>
            </w:pPr>
            <w:r>
              <w:rPr/>
              <w:t>Interest income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4,670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6,507</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365"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(2,554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(402</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6365" w:type="dxa"/>
            <w:tcBorders/>
            <w:shd w:fill="FFFFFF" w:val="clear"/>
            <w:vAlign w:val="center"/>
          </w:tcPr>
          <w:p>
            <w:pPr>
              <w:pStyle w:val="TableContents"/>
              <w:bidi w:val="0"/>
              <w:spacing w:before="0" w:after="283"/>
              <w:jc w:val="left"/>
              <w:rPr/>
            </w:pPr>
            <w:r>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(1,345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4,628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6,105</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36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(70,667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(45,968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(35,592</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6365" w:type="dxa"/>
            <w:tcBorders/>
            <w:shd w:fill="FFFFFF" w:val="clear"/>
            <w:vAlign w:val="center"/>
          </w:tcPr>
          <w:p>
            <w:pPr>
              <w:pStyle w:val="TableContents"/>
              <w:bidi w:val="0"/>
              <w:spacing w:before="0" w:after="283"/>
              <w:jc w:val="left"/>
              <w:rPr/>
            </w:pPr>
            <w:r>
              <w:rPr/>
              <w:t>Net loss per share,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(14.29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(9.35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(7.27</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6365" w:type="dxa"/>
            <w:tcBorders/>
            <w:shd w:fill="CCEEFF" w:val="clear"/>
            <w:vAlign w:val="center"/>
          </w:tcPr>
          <w:p>
            <w:pPr>
              <w:pStyle w:val="TableContents"/>
              <w:bidi w:val="0"/>
              <w:spacing w:before="0" w:after="283"/>
              <w:jc w:val="left"/>
              <w:rPr/>
            </w:pPr>
            <w:r>
              <w:rPr/>
              <w:t>Weighted average shares used in computing net loss per share,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4,944,814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4,917,324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4,892,803</w:t>
            </w:r>
          </w:p>
        </w:tc>
        <w:tc>
          <w:tcPr>
            <w:tcW w:w="11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365" w:type="dxa"/>
            <w:tcBorders/>
            <w:shd w:fill="CCEEFF" w:val="clear"/>
            <w:vAlign w:val="center"/>
          </w:tcPr>
          <w:p>
            <w:pPr>
              <w:pStyle w:val="TableContents"/>
              <w:bidi w:val="0"/>
              <w:spacing w:before="0" w:after="283"/>
              <w:jc w:val="left"/>
              <w:rPr>
                <w:b/>
              </w:rPr>
            </w:pPr>
            <w:r>
              <w:rPr>
                <w:b/>
              </w:rPr>
              <w:t>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36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(70,667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(45,968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(35,592</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6365" w:type="dxa"/>
            <w:tcBorders/>
            <w:shd w:fill="CCEEFF" w:val="clear"/>
            <w:vAlign w:val="center"/>
          </w:tcPr>
          <w:p>
            <w:pPr>
              <w:pStyle w:val="TableContents"/>
              <w:bidi w:val="0"/>
              <w:spacing w:before="0" w:after="283"/>
              <w:jc w:val="left"/>
              <w:rPr/>
            </w:pPr>
            <w:r>
              <w:rPr/>
              <w:t>Cumulative translation adjustment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3,216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(1,425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457</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365" w:type="dxa"/>
            <w:tcBorders/>
            <w:shd w:fill="FFFFFF" w:val="clear"/>
            <w:vAlign w:val="center"/>
          </w:tcPr>
          <w:p>
            <w:pPr>
              <w:pStyle w:val="TableContents"/>
              <w:bidi w:val="0"/>
              <w:spacing w:before="0" w:after="283"/>
              <w:jc w:val="left"/>
              <w:rPr/>
            </w:pPr>
            <w:r>
              <w:rPr/>
              <w:t>Net comprehensive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(67,451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(47,393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(35,135</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51" w:name="k_015"/>
      <w:bookmarkEnd w:id="51"/>
      <w:r>
        <w:rPr>
          <w:rFonts w:ascii="Times New Roman;Times;Serif" w:hAnsi="Times New Roman;Times;Serif"/>
          <w:b/>
          <w:i w:val="false"/>
          <w:smallCaps/>
          <w:sz w:val="20"/>
        </w:rPr>
        <w:t>Xanadu Quantum Technologies Inc.</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Consolidated Statements of Shareholder’s Equity</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jc w:val="left"/>
        <w:rPr>
          <w:caps w:val="false"/>
          <w:smallCaps w:val="false"/>
        </w:rPr>
      </w:pPr>
      <w:r>
        <w:rPr>
          <w:caps w:val="false"/>
          <w:smallCaps w:val="false"/>
        </w:rPr>
        <w:t> </w:t>
      </w:r>
    </w:p>
    <w:tbl>
      <w:tblPr>
        <w:tblW w:w="12070" w:type="dxa"/>
        <w:jc w:val="left"/>
        <w:tblInd w:w="0" w:type="dxa"/>
        <w:tblLayout w:type="fixed"/>
        <w:tblCellMar>
          <w:top w:w="0" w:type="dxa"/>
          <w:left w:w="0" w:type="dxa"/>
          <w:bottom w:w="0" w:type="dxa"/>
          <w:right w:w="0" w:type="dxa"/>
        </w:tblCellMar>
      </w:tblPr>
      <w:tblGrid>
        <w:gridCol w:w="1340"/>
        <w:gridCol w:w="60"/>
        <w:gridCol w:w="60"/>
        <w:gridCol w:w="980"/>
        <w:gridCol w:w="60"/>
        <w:gridCol w:w="60"/>
        <w:gridCol w:w="172"/>
        <w:gridCol w:w="688"/>
        <w:gridCol w:w="60"/>
        <w:gridCol w:w="60"/>
        <w:gridCol w:w="60"/>
        <w:gridCol w:w="1100"/>
        <w:gridCol w:w="60"/>
        <w:gridCol w:w="60"/>
        <w:gridCol w:w="140"/>
        <w:gridCol w:w="800"/>
        <w:gridCol w:w="60"/>
        <w:gridCol w:w="60"/>
        <w:gridCol w:w="140"/>
        <w:gridCol w:w="800"/>
        <w:gridCol w:w="60"/>
        <w:gridCol w:w="60"/>
        <w:gridCol w:w="187"/>
        <w:gridCol w:w="913"/>
        <w:gridCol w:w="95"/>
        <w:gridCol w:w="60"/>
        <w:gridCol w:w="140"/>
        <w:gridCol w:w="875"/>
        <w:gridCol w:w="95"/>
        <w:gridCol w:w="60"/>
        <w:gridCol w:w="277"/>
        <w:gridCol w:w="1258"/>
        <w:gridCol w:w="95"/>
        <w:gridCol w:w="60"/>
        <w:gridCol w:w="140"/>
        <w:gridCol w:w="800"/>
        <w:gridCol w:w="75"/>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Preferred 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vAlign w:val="center"/>
          </w:tcPr>
          <w:p>
            <w:pPr>
              <w:pStyle w:val="TableContents"/>
              <w:bidi w:val="0"/>
              <w:spacing w:before="0" w:after="283"/>
              <w:jc w:val="center"/>
              <w:rPr>
                <w:b/>
              </w:rPr>
            </w:pPr>
            <w:r>
              <w:rPr>
                <w:b/>
              </w:rPr>
              <w:t xml:space="preserve">Total Share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b/>
              </w:rPr>
            </w:pPr>
            <w:r>
              <w:rPr>
                <w:b/>
              </w:rPr>
              <w:t xml:space="preserve">Additional paid-in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35" w:type="dxa"/>
            <w:gridSpan w:val="2"/>
            <w:tcBorders/>
            <w:vAlign w:val="center"/>
          </w:tcPr>
          <w:p>
            <w:pPr>
              <w:pStyle w:val="TableContents"/>
              <w:bidi w:val="0"/>
              <w:spacing w:before="0" w:after="283"/>
              <w:jc w:val="center"/>
              <w:rPr>
                <w:b/>
              </w:rPr>
            </w:pPr>
            <w:r>
              <w:rPr>
                <w:b/>
              </w:rPr>
              <w:t xml:space="preserve">Accumulated other comprehensive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income (loss)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ind w:left="0" w:right="0" w:hanging="180"/>
              <w:jc w:val="center"/>
              <w:rPr/>
            </w:pPr>
            <w:r>
              <w:rPr/>
              <w:t> </w:t>
            </w:r>
          </w:p>
        </w:tc>
      </w:tr>
      <w:tr>
        <w:trPr/>
        <w:tc>
          <w:tcPr>
            <w:tcW w:w="1340" w:type="dxa"/>
            <w:tcBorders/>
            <w:shd w:fill="CCEEFF" w:val="clear"/>
            <w:vAlign w:val="center"/>
          </w:tcPr>
          <w:p>
            <w:pPr>
              <w:pStyle w:val="TableContents"/>
              <w:bidi w:val="0"/>
              <w:spacing w:before="0" w:after="283"/>
              <w:jc w:val="left"/>
              <w:rPr/>
            </w:pPr>
            <w:r>
              <w:rPr/>
              <w:t>Balance,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4,872,083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7,128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17,718,491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213,002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220,130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911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(54,076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w:t>
            </w:r>
          </w:p>
        </w:tc>
        <w:tc>
          <w:tcPr>
            <w:tcW w:w="1258" w:type="dxa"/>
            <w:tcBorders/>
            <w:shd w:fill="CCEEFF" w:val="clear"/>
            <w:vAlign w:val="center"/>
          </w:tcPr>
          <w:p>
            <w:pPr>
              <w:pStyle w:val="TableContents"/>
              <w:bidi w:val="0"/>
              <w:spacing w:before="0" w:after="283"/>
              <w:jc w:val="right"/>
              <w:rPr/>
            </w:pPr>
            <w:r>
              <w:rPr/>
              <w:t>(2,239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164,726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Loss for the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(35,592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(35,592</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34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2,206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2,206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Exercise of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40,377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159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Cumulative translation adjustment, net of tax</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3" w:type="dxa"/>
            <w:tcBorders>
              <w:bottom w:val="single" w:sz="12" w:space="0" w:color="000000"/>
            </w:tcBorders>
            <w:shd w:fill="CCEEFF" w:val="clear"/>
            <w:tcMar>
              <w:bottom w:w="28" w:type="dxa"/>
            </w:tcMar>
            <w:vAlign w:val="center"/>
          </w:tcPr>
          <w:p>
            <w:pPr>
              <w:pStyle w:val="TableContents"/>
              <w:bidi w:val="0"/>
              <w:spacing w:before="0" w:after="283"/>
              <w:jc w:val="right"/>
              <w:rPr/>
            </w:pPr>
            <w:r>
              <w:rPr/>
              <w:t>(13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CCEEFF" w:val="clear"/>
            <w:tcMar>
              <w:bottom w:w="28" w:type="dxa"/>
            </w:tcMar>
            <w:vAlign w:val="center"/>
          </w:tcPr>
          <w:p>
            <w:pPr>
              <w:pStyle w:val="TableContents"/>
              <w:bidi w:val="0"/>
              <w:spacing w:before="0" w:after="283"/>
              <w:jc w:val="right"/>
              <w:rPr/>
            </w:pPr>
            <w:r>
              <w:rPr/>
              <w:t>457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444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Balance, December 31,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4,912,460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pPr>
            <w:r>
              <w:rPr/>
              <w:t>7,287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17,718,491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213,002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220,289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13" w:type="dxa"/>
            <w:tcBorders>
              <w:bottom w:val="single" w:sz="12" w:space="0" w:color="000000"/>
            </w:tcBorders>
            <w:shd w:fill="FFFFFF" w:val="clear"/>
            <w:tcMar>
              <w:bottom w:w="28" w:type="dxa"/>
            </w:tcMar>
            <w:vAlign w:val="center"/>
          </w:tcPr>
          <w:p>
            <w:pPr>
              <w:pStyle w:val="TableContents"/>
              <w:bidi w:val="0"/>
              <w:spacing w:before="0" w:after="283"/>
              <w:jc w:val="right"/>
              <w:rPr/>
            </w:pPr>
            <w:r>
              <w:rPr/>
              <w:t>3,060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(89,668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7"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58" w:type="dxa"/>
            <w:tcBorders>
              <w:bottom w:val="single" w:sz="12" w:space="0" w:color="000000"/>
            </w:tcBorders>
            <w:shd w:fill="FFFFFF" w:val="clear"/>
            <w:tcMar>
              <w:bottom w:w="28" w:type="dxa"/>
            </w:tcMar>
            <w:vAlign w:val="center"/>
          </w:tcPr>
          <w:p>
            <w:pPr>
              <w:pStyle w:val="TableContents"/>
              <w:bidi w:val="0"/>
              <w:spacing w:before="0" w:after="283"/>
              <w:jc w:val="right"/>
              <w:rPr/>
            </w:pPr>
            <w:r>
              <w:rPr/>
              <w:t>(1,782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131,899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Loss for the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(45,968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(45,968</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34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2,893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2,893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112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Cumulative translation adjustment, net of tax</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12" w:space="0" w:color="000000"/>
            </w:tcBorders>
            <w:shd w:fill="FFFFFF" w:val="clear"/>
            <w:tcMar>
              <w:bottom w:w="28" w:type="dxa"/>
            </w:tcMar>
            <w:vAlign w:val="center"/>
          </w:tcPr>
          <w:p>
            <w:pPr>
              <w:pStyle w:val="TableContents"/>
              <w:bidi w:val="0"/>
              <w:spacing w:before="0" w:after="283"/>
              <w:jc w:val="right"/>
              <w:rPr/>
            </w:pPr>
            <w:r>
              <w:rPr/>
              <w:t>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FFFFFF" w:val="clear"/>
            <w:tcMar>
              <w:bottom w:w="28" w:type="dxa"/>
            </w:tcMar>
            <w:vAlign w:val="center"/>
          </w:tcPr>
          <w:p>
            <w:pPr>
              <w:pStyle w:val="TableContents"/>
              <w:bidi w:val="0"/>
              <w:spacing w:before="0" w:after="283"/>
              <w:jc w:val="right"/>
              <w:rPr/>
            </w:pPr>
            <w:r>
              <w:rPr/>
              <w:t>(1,425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(1,411</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340" w:type="dxa"/>
            <w:tcBorders/>
            <w:shd w:fill="CCEEFF" w:val="clear"/>
            <w:vAlign w:val="center"/>
          </w:tcPr>
          <w:p>
            <w:pPr>
              <w:pStyle w:val="TableContents"/>
              <w:bidi w:val="0"/>
              <w:spacing w:before="0" w:after="283"/>
              <w:jc w:val="left"/>
              <w:rPr/>
            </w:pPr>
            <w:r>
              <w:rPr/>
              <w:t>Balance,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4,924,563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7,399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17,718,491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213,002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220,401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5,937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(135,636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w:t>
            </w:r>
          </w:p>
        </w:tc>
        <w:tc>
          <w:tcPr>
            <w:tcW w:w="1258" w:type="dxa"/>
            <w:tcBorders/>
            <w:shd w:fill="CCEEFF" w:val="clear"/>
            <w:vAlign w:val="center"/>
          </w:tcPr>
          <w:p>
            <w:pPr>
              <w:pStyle w:val="TableContents"/>
              <w:bidi w:val="0"/>
              <w:spacing w:before="0" w:after="283"/>
              <w:jc w:val="right"/>
              <w:rPr/>
            </w:pPr>
            <w:r>
              <w:rPr/>
              <w:t>(3,207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87,495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Loss for the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(70,667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(70,667</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34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4,268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4,268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Exercise of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35,237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186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Cumulative translation adjustment, net of tax</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3" w:type="dxa"/>
            <w:tcBorders>
              <w:bottom w:val="single" w:sz="12" w:space="0" w:color="000000"/>
            </w:tcBorders>
            <w:shd w:fill="CCEEFF" w:val="clear"/>
            <w:tcMar>
              <w:bottom w:w="28" w:type="dxa"/>
            </w:tcM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CCEEFF" w:val="clear"/>
            <w:tcMar>
              <w:bottom w:w="28" w:type="dxa"/>
            </w:tcMar>
            <w:vAlign w:val="center"/>
          </w:tcPr>
          <w:p>
            <w:pPr>
              <w:pStyle w:val="TableContents"/>
              <w:bidi w:val="0"/>
              <w:spacing w:before="0" w:after="283"/>
              <w:jc w:val="right"/>
              <w:rPr/>
            </w:pPr>
            <w:r>
              <w:rPr/>
              <w:t>3,216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3,224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Balance,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4,959,800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8" w:type="dxa"/>
            <w:tcBorders>
              <w:bottom w:val="double" w:sz="10" w:space="0" w:color="000000"/>
            </w:tcBorders>
            <w:shd w:fill="FFFFFF" w:val="clear"/>
            <w:tcMar>
              <w:bottom w:w="28" w:type="dxa"/>
            </w:tcMar>
            <w:vAlign w:val="center"/>
          </w:tcPr>
          <w:p>
            <w:pPr>
              <w:pStyle w:val="TableContents"/>
              <w:bidi w:val="0"/>
              <w:spacing w:before="0" w:after="283"/>
              <w:jc w:val="right"/>
              <w:rPr/>
            </w:pPr>
            <w:r>
              <w:rPr/>
              <w:t>7,585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17,718,491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213,002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220,587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13" w:type="dxa"/>
            <w:tcBorders>
              <w:bottom w:val="double" w:sz="10" w:space="0" w:color="000000"/>
            </w:tcBorders>
            <w:shd w:fill="FFFFFF" w:val="clear"/>
            <w:tcMar>
              <w:bottom w:w="28" w:type="dxa"/>
            </w:tcMar>
            <w:vAlign w:val="center"/>
          </w:tcPr>
          <w:p>
            <w:pPr>
              <w:pStyle w:val="TableContents"/>
              <w:bidi w:val="0"/>
              <w:spacing w:before="0" w:after="283"/>
              <w:jc w:val="right"/>
              <w:rPr/>
            </w:pPr>
            <w:r>
              <w:rPr/>
              <w:t>10,151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(206,303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58" w:type="dxa"/>
            <w:tcBorders>
              <w:bottom w:val="double" w:sz="10" w:space="0" w:color="000000"/>
            </w:tcBorders>
            <w:shd w:fill="FFFFFF" w:val="clear"/>
            <w:tcMar>
              <w:bottom w:w="28" w:type="dxa"/>
            </w:tcM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24,444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F-46</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bookmarkStart w:id="52" w:name="k_016"/>
      <w:bookmarkEnd w:id="52"/>
      <w:r>
        <w:rPr>
          <w:b/>
          <w:smallCaps/>
        </w:rPr>
        <w:t>Xanadu Quantum Technologies Inc.</w:t>
      </w:r>
      <w:r>
        <w:rPr/>
        <w:br/>
      </w:r>
      <w:r>
        <w:rPr>
          <w:b/>
        </w:rPr>
        <w:t>Consolidated Statements of Cash Flows</w:t>
      </w:r>
      <w:r>
        <w:rPr/>
        <w:br/>
      </w:r>
      <w:r>
        <w:rPr>
          <w:b/>
        </w:rPr>
        <w:t>(In thousands, except for share and per share amounts)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950"/>
        <w:gridCol w:w="60"/>
        <w:gridCol w:w="140"/>
        <w:gridCol w:w="755"/>
        <w:gridCol w:w="95"/>
        <w:gridCol w:w="60"/>
        <w:gridCol w:w="140"/>
        <w:gridCol w:w="800"/>
        <w:gridCol w:w="95"/>
        <w:gridCol w:w="60"/>
        <w:gridCol w:w="140"/>
        <w:gridCol w:w="800"/>
        <w:gridCol w:w="110"/>
      </w:tblGrid>
      <w:tr>
        <w:trPr/>
        <w:tc>
          <w:tcPr>
            <w:tcW w:w="6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200"/>
              <w:jc w:val="left"/>
              <w:rPr/>
            </w:pPr>
            <w:r>
              <w:rPr/>
              <w:t> </w:t>
            </w:r>
          </w:p>
        </w:tc>
      </w:tr>
      <w:tr>
        <w:trPr/>
        <w:tc>
          <w:tcPr>
            <w:tcW w:w="695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(70,667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(45,968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(35,592</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6950" w:type="dxa"/>
            <w:tcBorders/>
            <w:shd w:fill="FFFF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95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5,849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4,869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3,730</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950" w:type="dxa"/>
            <w:tcBorders/>
            <w:shd w:fill="FFFFFF" w:val="clear"/>
            <w:vAlign w:val="center"/>
          </w:tcPr>
          <w:p>
            <w:pPr>
              <w:pStyle w:val="TableContents"/>
              <w:bidi w:val="0"/>
              <w:spacing w:before="0" w:after="283"/>
              <w:jc w:val="left"/>
              <w:rPr/>
            </w:pPr>
            <w:r>
              <w:rPr/>
              <w:t>Amortization of operating right of 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788</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95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2,893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2,206</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950" w:type="dxa"/>
            <w:tcBorders/>
            <w:shd w:fill="FFFFFF" w:val="clear"/>
            <w:vAlign w:val="center"/>
          </w:tcPr>
          <w:p>
            <w:pPr>
              <w:pStyle w:val="TableContents"/>
              <w:bidi w:val="0"/>
              <w:spacing w:before="0" w:after="283"/>
              <w:jc w:val="left"/>
              <w:rPr/>
            </w:pPr>
            <w:r>
              <w:rPr/>
              <w:t>Amortization of debt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159</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950" w:type="dxa"/>
            <w:tcBorders/>
            <w:shd w:fill="CCEEFF" w:val="clear"/>
            <w:vAlign w:val="center"/>
          </w:tcPr>
          <w:p>
            <w:pPr>
              <w:pStyle w:val="TableContents"/>
              <w:bidi w:val="0"/>
              <w:spacing w:before="0" w:after="283"/>
              <w:jc w:val="left"/>
              <w:rPr/>
            </w:pPr>
            <w:r>
              <w:rPr/>
              <w:t>Interest accretion on long-term 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102</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950" w:type="dxa"/>
            <w:tcBorders/>
            <w:shd w:fill="FFFFFF" w:val="clear"/>
            <w:vAlign w:val="center"/>
          </w:tcPr>
          <w:p>
            <w:pPr>
              <w:pStyle w:val="TableContents"/>
              <w:bidi w:val="0"/>
              <w:spacing w:before="0" w:after="283"/>
              <w:jc w:val="left"/>
              <w:rPr/>
            </w:pPr>
            <w:r>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195</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950" w:type="dxa"/>
            <w:tcBorders/>
            <w:shd w:fill="CCEEFF" w:val="clear"/>
            <w:vAlign w:val="center"/>
          </w:tcPr>
          <w:p>
            <w:pPr>
              <w:pStyle w:val="TableContents"/>
              <w:bidi w:val="0"/>
              <w:spacing w:before="0" w:after="283"/>
              <w:jc w:val="left"/>
              <w:rPr/>
            </w:pPr>
            <w:r>
              <w:rPr/>
              <w:t>Other non-cash adjustments,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281</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950" w:type="dxa"/>
            <w:tcBorders/>
            <w:shd w:fill="FFFFFF" w:val="clear"/>
            <w:vAlign w:val="center"/>
          </w:tcPr>
          <w:p>
            <w:pPr>
              <w:pStyle w:val="TableContents"/>
              <w:bidi w:val="0"/>
              <w:spacing w:before="0" w:after="283"/>
              <w:jc w:val="left"/>
              <w:rPr/>
            </w:pPr>
            <w:r>
              <w:rPr/>
              <w:t>Change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95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(7,998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91</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950" w:type="dxa"/>
            <w:tcBorders/>
            <w:shd w:fill="FFFFFF" w:val="clear"/>
            <w:vAlign w:val="center"/>
          </w:tcPr>
          <w:p>
            <w:pPr>
              <w:pStyle w:val="TableContents"/>
              <w:bidi w:val="0"/>
              <w:spacing w:before="0" w:after="283"/>
              <w:jc w:val="left"/>
              <w:rPr/>
            </w:pPr>
            <w:r>
              <w:rPr/>
              <w:t>Materials and supplies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(4,885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(3,188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6950"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(4,192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(1,100</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695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165</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950"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6950"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(713</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6950" w:type="dxa"/>
            <w:tcBorders/>
            <w:shd w:fill="CCEEFF" w:val="clear"/>
            <w:vAlign w:val="center"/>
          </w:tcPr>
          <w:p>
            <w:pPr>
              <w:pStyle w:val="TableContents"/>
              <w:bidi w:val="0"/>
              <w:spacing w:before="0" w:after="283"/>
              <w:jc w:val="left"/>
              <w:rPr/>
            </w:pPr>
            <w:r>
              <w:rPr/>
              <w:t>Deferred grant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950"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(661</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6950" w:type="dxa"/>
            <w:tcBorders/>
            <w:shd w:fill="CCEEFF" w:val="clear"/>
            <w:vAlign w:val="center"/>
          </w:tcPr>
          <w:p>
            <w:pPr>
              <w:pStyle w:val="TableContents"/>
              <w:bidi w:val="0"/>
              <w:spacing w:before="0" w:after="283"/>
              <w:jc w:val="left"/>
              <w:rPr/>
            </w:pPr>
            <w:r>
              <w:rPr/>
              <w:t>Receipt of lease allowances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831</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950" w:type="dxa"/>
            <w:tcBorders/>
            <w:shd w:fill="FFFFFF" w:val="clear"/>
            <w:vAlign w:val="center"/>
          </w:tcPr>
          <w:p>
            <w:pPr>
              <w:pStyle w:val="TableContents"/>
              <w:bidi w:val="0"/>
              <w:spacing w:before="0" w:after="283"/>
              <w:jc w:val="left"/>
              <w:rPr>
                <w:b/>
              </w:rPr>
            </w:pPr>
            <w:r>
              <w:rPr>
                <w:b/>
              </w:rPr>
              <w:t>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(68,045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(41,737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(29,549</w:t>
            </w:r>
          </w:p>
        </w:tc>
        <w:tc>
          <w:tcPr>
            <w:tcW w:w="110" w:type="dxa"/>
            <w:tcBorders/>
            <w:shd w:fill="FFFFFF" w:val="clear"/>
            <w:vAlign w:val="center"/>
          </w:tcPr>
          <w:p>
            <w:pPr>
              <w:pStyle w:val="TableContents"/>
              <w:bidi w:val="0"/>
              <w:spacing w:before="0" w:after="283"/>
              <w:jc w:val="left"/>
              <w:rPr/>
            </w:pPr>
            <w:r>
              <w:rPr/>
              <w:t>)</w:t>
            </w:r>
          </w:p>
        </w:tc>
      </w:tr>
      <w:tr>
        <w:trPr/>
        <w:tc>
          <w:tcPr>
            <w:tcW w:w="6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950"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950" w:type="dxa"/>
            <w:tcBorders/>
            <w:shd w:fill="CCEEFF" w:val="clear"/>
            <w:vAlign w:val="center"/>
          </w:tcPr>
          <w:p>
            <w:pPr>
              <w:pStyle w:val="TableContents"/>
              <w:bidi w:val="0"/>
              <w:spacing w:before="0" w:after="283"/>
              <w:jc w:val="left"/>
              <w:rPr/>
            </w:pPr>
            <w:r>
              <w:rPr/>
              <w:t>Proceeds from exercise of stock options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115</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950" w:type="dxa"/>
            <w:tcBorders/>
            <w:shd w:fill="FFFFFF" w:val="clear"/>
            <w:vAlign w:val="center"/>
          </w:tcPr>
          <w:p>
            <w:pPr>
              <w:pStyle w:val="TableContents"/>
              <w:bidi w:val="0"/>
              <w:spacing w:before="0" w:after="283"/>
              <w:jc w:val="left"/>
              <w:rPr/>
            </w:pPr>
            <w:r>
              <w:rPr/>
              <w:t>Repayments of long-term 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(2,509</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6950" w:type="dxa"/>
            <w:tcBorders/>
            <w:shd w:fill="CCEEFF" w:val="clear"/>
            <w:vAlign w:val="center"/>
          </w:tcPr>
          <w:p>
            <w:pPr>
              <w:pStyle w:val="TableContents"/>
              <w:bidi w:val="0"/>
              <w:spacing w:before="0" w:after="283"/>
              <w:jc w:val="left"/>
              <w:rPr/>
            </w:pPr>
            <w:r>
              <w:rPr/>
              <w:t>Proceeds from long-term debt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12,112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9,213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6,706</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950" w:type="dxa"/>
            <w:tcBorders/>
            <w:shd w:fill="FFFFFF" w:val="clear"/>
            <w:vAlign w:val="center"/>
          </w:tcPr>
          <w:p>
            <w:pPr>
              <w:pStyle w:val="TableContents"/>
              <w:bidi w:val="0"/>
              <w:spacing w:before="0" w:after="283"/>
              <w:jc w:val="left"/>
              <w:rPr>
                <w:b/>
              </w:rPr>
            </w:pPr>
            <w:r>
              <w:rPr>
                <w:b/>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12,236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9,295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4,312</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950"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950"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(6,179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(8,899</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6950" w:type="dxa"/>
            <w:tcBorders/>
            <w:shd w:fill="FFFFFF" w:val="clear"/>
            <w:vAlign w:val="center"/>
          </w:tcPr>
          <w:p>
            <w:pPr>
              <w:pStyle w:val="TableContents"/>
              <w:bidi w:val="0"/>
              <w:spacing w:before="0" w:after="283"/>
              <w:jc w:val="left"/>
              <w:rPr/>
            </w:pPr>
            <w:r>
              <w:rPr/>
              <w:t>Proceeds from sale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449</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950" w:type="dxa"/>
            <w:tcBorders/>
            <w:shd w:fill="CCEEFF" w:val="clear"/>
            <w:vAlign w:val="center"/>
          </w:tcPr>
          <w:p>
            <w:pPr>
              <w:pStyle w:val="TableContents"/>
              <w:bidi w:val="0"/>
              <w:spacing w:before="0" w:after="283"/>
              <w:jc w:val="left"/>
              <w:rPr/>
            </w:pPr>
            <w:r>
              <w:rPr/>
              <w:t>Purchase of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(2,684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(1,908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(1,519</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6950" w:type="dxa"/>
            <w:tcBorders/>
            <w:shd w:fill="FFFFFF" w:val="clear"/>
            <w:vAlign w:val="center"/>
          </w:tcPr>
          <w:p>
            <w:pPr>
              <w:pStyle w:val="TableContents"/>
              <w:bidi w:val="0"/>
              <w:spacing w:before="0" w:after="283"/>
              <w:jc w:val="left"/>
              <w:rPr>
                <w:b/>
              </w:rPr>
            </w:pPr>
            <w:r>
              <w:rPr>
                <w:b/>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(8,863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(6,675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(9,969</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6950" w:type="dxa"/>
            <w:tcBorders/>
            <w:shd w:fill="CCEEFF" w:val="clear"/>
            <w:vAlign w:val="center"/>
          </w:tcPr>
          <w:p>
            <w:pPr>
              <w:pStyle w:val="TableContents"/>
              <w:bidi w:val="0"/>
              <w:spacing w:before="0" w:after="283"/>
              <w:jc w:val="left"/>
              <w:rPr/>
            </w:pPr>
            <w:r>
              <w:rPr/>
              <w:t>Effects of foreign exchange rates on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3,217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(723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668</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950" w:type="dxa"/>
            <w:tcBorders/>
            <w:shd w:fill="FFFFFF" w:val="clear"/>
            <w:vAlign w:val="center"/>
          </w:tcPr>
          <w:p>
            <w:pPr>
              <w:pStyle w:val="TableContents"/>
              <w:bidi w:val="0"/>
              <w:spacing w:before="0" w:after="283"/>
              <w:jc w:val="left"/>
              <w:rPr/>
            </w:pPr>
            <w:r>
              <w:rPr/>
              <w:t>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(61,455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(39,840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(34,538</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6950" w:type="dxa"/>
            <w:tcBorders/>
            <w:shd w:fill="CCEEFF" w:val="clear"/>
            <w:vAlign w:val="center"/>
          </w:tcPr>
          <w:p>
            <w:pPr>
              <w:pStyle w:val="TableContents"/>
              <w:bidi w:val="0"/>
              <w:spacing w:before="0" w:after="283"/>
              <w:jc w:val="left"/>
              <w:rPr/>
            </w:pPr>
            <w:r>
              <w:rPr/>
              <w:t>Cash and cash equivalents, beginning of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77,619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117,459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151,997</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950" w:type="dxa"/>
            <w:tcBorders/>
            <w:shd w:fill="FFFFFF" w:val="clear"/>
            <w:vAlign w:val="center"/>
          </w:tcPr>
          <w:p>
            <w:pPr>
              <w:pStyle w:val="TableContents"/>
              <w:bidi w:val="0"/>
              <w:spacing w:before="0" w:after="283"/>
              <w:jc w:val="left"/>
              <w:rPr/>
            </w:pPr>
            <w:r>
              <w:rPr/>
              <w:t>Cash and cash equivalents, end of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16,164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77,619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117,459</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950" w:type="dxa"/>
            <w:tcBorders/>
            <w:shd w:fill="FFFFFF" w:val="clear"/>
            <w:vAlign w:val="center"/>
          </w:tcPr>
          <w:p>
            <w:pPr>
              <w:pStyle w:val="TableContents"/>
              <w:bidi w:val="0"/>
              <w:spacing w:before="0" w:after="283"/>
              <w:jc w:val="left"/>
              <w:rPr>
                <w:b/>
              </w:rPr>
            </w:pPr>
            <w:r>
              <w:rPr>
                <w:b/>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950"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216</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950" w:type="dxa"/>
            <w:tcBorders/>
            <w:shd w:fill="CCEEFF" w:val="clear"/>
            <w:vAlign w:val="center"/>
          </w:tcPr>
          <w:p>
            <w:pPr>
              <w:pStyle w:val="TableContents"/>
              <w:bidi w:val="0"/>
              <w:spacing w:before="0" w:after="283"/>
              <w:jc w:val="left"/>
              <w:rPr>
                <w:b/>
              </w:rPr>
            </w:pPr>
            <w:r>
              <w:rPr>
                <w:b/>
              </w:rPr>
              <w:t>Supplemental disclosure of 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950" w:type="dxa"/>
            <w:tcBorders/>
            <w:shd w:fill="FFFFFF" w:val="clear"/>
            <w:vAlign w:val="center"/>
          </w:tcPr>
          <w:p>
            <w:pPr>
              <w:pStyle w:val="TableContents"/>
              <w:bidi w:val="0"/>
              <w:spacing w:before="0" w:after="283"/>
              <w:jc w:val="left"/>
              <w:rPr/>
            </w:pPr>
            <w:r>
              <w:rPr/>
              <w:t>Capitalized 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251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950" w:type="dxa"/>
            <w:tcBorders/>
            <w:shd w:fill="CCEEFF" w:val="clear"/>
            <w:vAlign w:val="center"/>
          </w:tcPr>
          <w:p>
            <w:pPr>
              <w:pStyle w:val="TableContents"/>
              <w:bidi w:val="0"/>
              <w:spacing w:before="0" w:after="283"/>
              <w:jc w:val="left"/>
              <w:rPr/>
            </w:pPr>
            <w:r>
              <w:rPr/>
              <w:t>Purchases of property and equipment included in 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20</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950" w:type="dxa"/>
            <w:tcBorders/>
            <w:shd w:fill="FFFFFF" w:val="clear"/>
            <w:vAlign w:val="center"/>
          </w:tcPr>
          <w:p>
            <w:pPr>
              <w:pStyle w:val="TableContents"/>
              <w:bidi w:val="0"/>
              <w:spacing w:before="0" w:after="283"/>
              <w:jc w:val="left"/>
              <w:rPr/>
            </w:pPr>
            <w:r>
              <w:rPr/>
              <w:t>Operating lease right-of-use assets subject to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427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F-47</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3" w:name="k_017"/>
      <w:bookmarkEnd w:id="53"/>
      <w:r>
        <w:rPr>
          <w:rFonts w:ascii="Times New Roman;Times;Serif" w:hAnsi="Times New Roman;Times;Serif"/>
          <w:b/>
          <w:i w:val="false"/>
          <w:smallCaps/>
          <w:sz w:val="20"/>
        </w:rPr>
        <w:t>Xanadu Quantum Technologies Inc.</w:t>
      </w:r>
      <w:r>
        <w:rPr>
          <w:rFonts w:ascii="Times New Roman;Times;Serif" w:hAnsi="Times New Roman;Times;Serif"/>
          <w:b/>
          <w:i w:val="false"/>
          <w:caps w:val="false"/>
          <w:smallCaps w:val="false"/>
          <w:sz w:val="20"/>
        </w:rPr>
        <w:br/>
        <w:t>Notes to the Consolidated Statements</w:t>
        <w:br/>
        <w:t>(In thousands, except for share and per share amounts)</w:t>
      </w:r>
    </w:p>
    <w:p>
      <w:pPr>
        <w:pStyle w:val="TextBody"/>
        <w:bidi w:val="0"/>
        <w:spacing w:before="0" w:after="0"/>
        <w:jc w:val="both"/>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215"/>
        <w:gridCol w:w="2435"/>
      </w:tblGrid>
      <w:tr>
        <w:trPr/>
        <w:tc>
          <w:tcPr>
            <w:tcW w:w="215" w:type="dxa"/>
            <w:tcBorders/>
            <w:vAlign w:val="center"/>
          </w:tcPr>
          <w:p>
            <w:pPr>
              <w:pStyle w:val="TableContents"/>
              <w:bidi w:val="0"/>
              <w:spacing w:before="0" w:after="283"/>
              <w:jc w:val="left"/>
              <w:rPr>
                <w:b/>
              </w:rPr>
            </w:pPr>
            <w:r>
              <w:rPr>
                <w:b/>
              </w:rPr>
              <w:t>1.</w:t>
            </w:r>
          </w:p>
        </w:tc>
        <w:tc>
          <w:tcPr>
            <w:tcW w:w="2435" w:type="dxa"/>
            <w:tcBorders/>
            <w:vAlign w:val="center"/>
          </w:tcPr>
          <w:p>
            <w:pPr>
              <w:pStyle w:val="TableContents"/>
              <w:bidi w:val="0"/>
              <w:spacing w:before="0" w:after="283"/>
              <w:jc w:val="both"/>
              <w:rPr>
                <w:b/>
              </w:rPr>
            </w:pPr>
            <w:r>
              <w:rPr>
                <w:b/>
              </w:rPr>
              <w:t>Description of business: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Quantum Technologies Inc., together with its wholly owned subsidiaries (“Old Xanadu”) specializes in designing photonic devices and the platforms around them, including the experimentation and development of quantum computers available on the cloud with supporting software, along with quantum simulators and other related products and offerings.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Xanadu Quantum Technologies Inc. was incorporated under the </w:t>
      </w:r>
      <w:r>
        <w:rPr>
          <w:rFonts w:ascii="Times New Roman;Times;Serif" w:hAnsi="Times New Roman;Times;Serif"/>
          <w:b w:val="false"/>
          <w:i/>
          <w:caps w:val="false"/>
          <w:smallCaps w:val="false"/>
          <w:sz w:val="20"/>
        </w:rPr>
        <w:t>Canada Business Corporations Act</w:t>
      </w:r>
      <w:r>
        <w:rPr>
          <w:rFonts w:ascii="Times New Roman;Times;Serif" w:hAnsi="Times New Roman;Times;Serif"/>
          <w:b w:val="false"/>
          <w:i w:val="false"/>
          <w:caps w:val="false"/>
          <w:smallCaps w:val="false"/>
          <w:sz w:val="20"/>
        </w:rPr>
        <w:t xml:space="preserve"> on December 7, 2016, and subsequently continued under the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xml:space="preserve"> (Ontario) on October 29, 2025. The corporate office address is located at 777 Bay Street, Suite 2400, Toronto, Ontario.</w:t>
      </w:r>
    </w:p>
    <w:p>
      <w:pPr>
        <w:pStyle w:val="TextBody"/>
        <w:bidi w:val="0"/>
        <w:spacing w:before="0" w:after="0"/>
        <w:jc w:val="both"/>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215"/>
        <w:gridCol w:w="6995"/>
      </w:tblGrid>
      <w:tr>
        <w:trPr/>
        <w:tc>
          <w:tcPr>
            <w:tcW w:w="215" w:type="dxa"/>
            <w:tcBorders/>
            <w:vAlign w:val="center"/>
          </w:tcPr>
          <w:p>
            <w:pPr>
              <w:pStyle w:val="TableContents"/>
              <w:bidi w:val="0"/>
              <w:spacing w:before="0" w:after="283"/>
              <w:jc w:val="left"/>
              <w:rPr>
                <w:b/>
              </w:rPr>
            </w:pPr>
            <w:r>
              <w:rPr>
                <w:b/>
              </w:rPr>
              <w:t>2.</w:t>
            </w:r>
          </w:p>
        </w:tc>
        <w:tc>
          <w:tcPr>
            <w:tcW w:w="6995" w:type="dxa"/>
            <w:tcBorders/>
            <w:vAlign w:val="center"/>
          </w:tcPr>
          <w:p>
            <w:pPr>
              <w:pStyle w:val="TableContents"/>
              <w:bidi w:val="0"/>
              <w:spacing w:before="0" w:after="283"/>
              <w:jc w:val="both"/>
              <w:rPr>
                <w:b/>
              </w:rPr>
            </w:pPr>
            <w:r>
              <w:rPr>
                <w:b/>
              </w:rPr>
              <w:t>Basis of presentation and summary of significant accounting policies:</w:t>
            </w:r>
          </w:p>
        </w:tc>
      </w:tr>
    </w:tbl>
    <w:p>
      <w:pPr>
        <w:pStyle w:val="TextBody"/>
        <w:bidi w:val="0"/>
        <w:spacing w:before="0" w:after="0"/>
        <w:jc w:val="both"/>
        <w:rPr>
          <w:caps w:val="false"/>
          <w:smallCaps w:val="false"/>
        </w:rPr>
      </w:pPr>
      <w:r>
        <w:rPr>
          <w:caps w:val="false"/>
          <w:smallCaps w:val="false"/>
        </w:rPr>
        <w:t> </w:t>
      </w:r>
    </w:p>
    <w:tbl>
      <w:tblPr>
        <w:tblW w:w="2373" w:type="dxa"/>
        <w:jc w:val="left"/>
        <w:tblInd w:w="0" w:type="dxa"/>
        <w:tblLayout w:type="fixed"/>
        <w:tblCellMar>
          <w:top w:w="0" w:type="dxa"/>
          <w:left w:w="0" w:type="dxa"/>
          <w:bottom w:w="0" w:type="dxa"/>
          <w:right w:w="0" w:type="dxa"/>
        </w:tblCellMar>
      </w:tblPr>
      <w:tblGrid>
        <w:gridCol w:w="38"/>
        <w:gridCol w:w="275"/>
        <w:gridCol w:w="206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2060" w:type="dxa"/>
            <w:tcBorders/>
            <w:vAlign w:val="center"/>
          </w:tcPr>
          <w:p>
            <w:pPr>
              <w:pStyle w:val="TableContents"/>
              <w:bidi w:val="0"/>
              <w:spacing w:before="0" w:after="283"/>
              <w:jc w:val="both"/>
              <w:rPr/>
            </w:pPr>
            <w:r>
              <w:rPr/>
              <w:t>Basis of presentation: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of the Old Xanadu are presented in U.S. dollars (“USD”) and prepared on a going concern basis in accordance with accounting principles generally accepted in the United States (“U.S. GAAP”) and pursuant to the accounting and disclosure rules and regulations of the Securities and Exchange Commission (“SEC”).</w:t>
      </w:r>
    </w:p>
    <w:p>
      <w:pPr>
        <w:pStyle w:val="TextBody"/>
        <w:bidi w:val="0"/>
        <w:spacing w:before="0" w:after="0"/>
        <w:jc w:val="both"/>
        <w:rPr>
          <w:caps w:val="false"/>
          <w:smallCaps w:val="false"/>
        </w:rPr>
      </w:pPr>
      <w:r>
        <w:rPr>
          <w:caps w:val="false"/>
          <w:smallCaps w:val="false"/>
        </w:rPr>
        <w:t> </w:t>
      </w:r>
    </w:p>
    <w:tbl>
      <w:tblPr>
        <w:tblW w:w="2928" w:type="dxa"/>
        <w:jc w:val="left"/>
        <w:tblInd w:w="0" w:type="dxa"/>
        <w:tblLayout w:type="fixed"/>
        <w:tblCellMar>
          <w:top w:w="0" w:type="dxa"/>
          <w:left w:w="0" w:type="dxa"/>
          <w:bottom w:w="0" w:type="dxa"/>
          <w:right w:w="0" w:type="dxa"/>
        </w:tblCellMar>
      </w:tblPr>
      <w:tblGrid>
        <w:gridCol w:w="38"/>
        <w:gridCol w:w="29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2600" w:type="dxa"/>
            <w:tcBorders/>
            <w:vAlign w:val="center"/>
          </w:tcPr>
          <w:p>
            <w:pPr>
              <w:pStyle w:val="TableContents"/>
              <w:bidi w:val="0"/>
              <w:spacing w:before="0" w:after="283"/>
              <w:jc w:val="both"/>
              <w:rPr/>
            </w:pPr>
            <w:r>
              <w:rPr/>
              <w:t>Principles of consolidation: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the Old Xanadu include the accounts of the Old Xanadu and all of its wholly-owned subsidiaries. All intercompany transactions and balances have been eliminated.</w:t>
      </w:r>
    </w:p>
    <w:p>
      <w:pPr>
        <w:pStyle w:val="TextBody"/>
        <w:bidi w:val="0"/>
        <w:spacing w:before="0" w:after="0"/>
        <w:jc w:val="both"/>
        <w:rPr>
          <w:caps w:val="false"/>
          <w:smallCaps w:val="false"/>
        </w:rPr>
      </w:pPr>
      <w:r>
        <w:rPr>
          <w:caps w:val="false"/>
          <w:smallCaps w:val="false"/>
        </w:rPr>
        <w:t> </w:t>
      </w:r>
    </w:p>
    <w:tbl>
      <w:tblPr>
        <w:tblW w:w="3618" w:type="dxa"/>
        <w:jc w:val="left"/>
        <w:tblInd w:w="0" w:type="dxa"/>
        <w:tblLayout w:type="fixed"/>
        <w:tblCellMar>
          <w:top w:w="0" w:type="dxa"/>
          <w:left w:w="0" w:type="dxa"/>
          <w:bottom w:w="0" w:type="dxa"/>
          <w:right w:w="0" w:type="dxa"/>
        </w:tblCellMar>
      </w:tblPr>
      <w:tblGrid>
        <w:gridCol w:w="38"/>
        <w:gridCol w:w="275"/>
        <w:gridCol w:w="33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3305" w:type="dxa"/>
            <w:tcBorders/>
            <w:vAlign w:val="center"/>
          </w:tcPr>
          <w:p>
            <w:pPr>
              <w:pStyle w:val="TableContents"/>
              <w:bidi w:val="0"/>
              <w:spacing w:before="0" w:after="283"/>
              <w:jc w:val="both"/>
              <w:rPr/>
            </w:pPr>
            <w:r>
              <w:rPr/>
              <w:t>Liquidity and capital management: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on a basis that assumes Old Xanadu will continue as a going concern, which contemplates the realization of assets and the settlement of liabilities in the normal course of business. Old Xanadu has incurred recurring net losses and negative cash flows from operations since inception. As of December 31, 2025, and 2024, Old Xanadu had an accumulated deficit of $(206,303) and $(135,636), respectively. For the years ended December 31, 2025, 2024, and 2023 Old Xanadu incurred net losses of $(70,667), $(45,968), and $(35,592) respectively, and Old Xanadu had net cash outflows from operating activities of $(68,045), $(41,737), and $(29,549) respectively. As of December 31, 2025 and 2024, Old Xanadu had cash and cash equivalents of $16,164 and $77,619 and net working capital of $31,237 and $84,983,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2026, Old Xanadu successfully consummated its business combination with Crane Harbor Acquisition Corp. (“SPAC”) and Xanadu Quantum Technologies Limited (“Xanadu”) (the “Business Combination”) and a concurrent PIPE investment (the “PIPE Financing”). These transactions resulted in gross proceeds of approximately $302 million (note 22).</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Old Xanadu’s current operating plan, management believes that the existing cash and cash equivalents, combined with the proceeds from the Business Combination and PIPE Financing, will be sufficient to fund operations, research and development activities, and capital expenditure requirements for at least twelve months from the date these consolidated financial statements are issued.</w:t>
      </w:r>
    </w:p>
    <w:p>
      <w:pPr>
        <w:pStyle w:val="TextBody"/>
        <w:bidi w:val="0"/>
        <w:spacing w:before="0" w:after="0"/>
        <w:jc w:val="both"/>
        <w:rPr>
          <w:caps w:val="false"/>
          <w:smallCaps w:val="false"/>
        </w:rPr>
      </w:pPr>
      <w:r>
        <w:rPr>
          <w:caps w:val="false"/>
          <w:smallCaps w:val="false"/>
        </w:rPr>
        <w:t> </w:t>
      </w:r>
    </w:p>
    <w:tbl>
      <w:tblPr>
        <w:tblW w:w="1968" w:type="dxa"/>
        <w:jc w:val="left"/>
        <w:tblInd w:w="0" w:type="dxa"/>
        <w:tblLayout w:type="fixed"/>
        <w:tblCellMar>
          <w:top w:w="0" w:type="dxa"/>
          <w:left w:w="0" w:type="dxa"/>
          <w:bottom w:w="0" w:type="dxa"/>
          <w:right w:w="0" w:type="dxa"/>
        </w:tblCellMar>
      </w:tblPr>
      <w:tblGrid>
        <w:gridCol w:w="38"/>
        <w:gridCol w:w="290"/>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1640" w:type="dxa"/>
            <w:tcBorders/>
            <w:vAlign w:val="center"/>
          </w:tcPr>
          <w:p>
            <w:pPr>
              <w:pStyle w:val="TableContents"/>
              <w:bidi w:val="0"/>
              <w:spacing w:before="0" w:after="283"/>
              <w:jc w:val="both"/>
              <w:rPr/>
            </w:pPr>
            <w:r>
              <w:rPr/>
              <w:t>Use of estimates: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consolidated financial statements in conformity with U.S. GAAP requires management to make estimates, judgments, and assumptions that affect the amounts reported in the consolidated financial statements and accompanying notes. The most significant estimates and assumptions are used in determining: (i) the fair value of underlying shares used in the valuation of equity-settled stock-based payments; (ii) long term revenue forecasts used in accounting for the SIF Loan (note 9), and (iii) the estimated percentage completion in fixed fee professional services revenue arrangements. These estimates, judgments, and assumptions are evaluated on an ongoing basis. Estimates are based on historical experience and other various assumptions management believes are reasonable under the circumstances, the results of which form the basis for making judgments about the carrying values of assets and liabilities that are not readily apparent from other sources. Actual results and outcomes could differ materially from management’s estimates, judgments, and assumptions.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F-48</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the Consolidated Statements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jc w:val="both"/>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215"/>
        <w:gridCol w:w="7670"/>
      </w:tblGrid>
      <w:tr>
        <w:trPr/>
        <w:tc>
          <w:tcPr>
            <w:tcW w:w="215" w:type="dxa"/>
            <w:tcBorders/>
            <w:vAlign w:val="center"/>
          </w:tcPr>
          <w:p>
            <w:pPr>
              <w:pStyle w:val="TableContents"/>
              <w:bidi w:val="0"/>
              <w:spacing w:before="0" w:after="283"/>
              <w:jc w:val="left"/>
              <w:rPr>
                <w:b/>
              </w:rPr>
            </w:pPr>
            <w:r>
              <w:rPr>
                <w:b/>
              </w:rPr>
              <w:t>2.</w:t>
            </w:r>
          </w:p>
        </w:tc>
        <w:tc>
          <w:tcPr>
            <w:tcW w:w="7670" w:type="dxa"/>
            <w:tcBorders/>
            <w:vAlign w:val="center"/>
          </w:tcPr>
          <w:p>
            <w:pPr>
              <w:pStyle w:val="TableContents"/>
              <w:bidi w:val="0"/>
              <w:spacing w:before="0" w:after="283"/>
              <w:jc w:val="both"/>
              <w:rPr/>
            </w:pPr>
            <w:r>
              <w:rPr>
                <w:b/>
              </w:rPr>
              <w:t>Basis of presentation and summary of significant accounting policies:</w:t>
            </w:r>
            <w:r>
              <w:rPr/>
              <w:t xml:space="preserve"> (cont.)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Xanadu’s accounting estimates and assumptions may change over time in response to risks and uncertainties. As of the date of issuance of these consolidated financial statements, Old Xanadu is not aware of any specific event or circumstance that would require Old Xanadu to update estimates, judgments or revise the carrying value of any assets or liabilities.</w:t>
      </w:r>
    </w:p>
    <w:p>
      <w:pPr>
        <w:pStyle w:val="TextBody"/>
        <w:bidi w:val="0"/>
        <w:spacing w:before="0" w:after="0"/>
        <w:jc w:val="both"/>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275"/>
        <w:gridCol w:w="258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2585" w:type="dxa"/>
            <w:tcBorders/>
            <w:vAlign w:val="center"/>
          </w:tcPr>
          <w:p>
            <w:pPr>
              <w:pStyle w:val="TableContents"/>
              <w:bidi w:val="0"/>
              <w:spacing w:before="0" w:after="283"/>
              <w:jc w:val="both"/>
              <w:rPr/>
            </w:pPr>
            <w:r>
              <w:rPr/>
              <w:t>Cash and cash equivalents: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considers all short term highly liquid investments purchased with original maturities at their acquisition date of three months or less to be cash equivalents. Old Xanadu maintains its cash and investments with high quality financial institutions, which, at times, may exceed federally insured limits. Old Xanadu did not hold any cash equivalents as of December 31, 2025 and 2024.</w:t>
      </w:r>
    </w:p>
    <w:p>
      <w:pPr>
        <w:pStyle w:val="TextBody"/>
        <w:bidi w:val="0"/>
        <w:spacing w:before="0" w:after="0"/>
        <w:jc w:val="both"/>
        <w:rPr>
          <w:caps w:val="false"/>
          <w:smallCaps w:val="false"/>
        </w:rPr>
      </w:pPr>
      <w:r>
        <w:rPr>
          <w:caps w:val="false"/>
          <w:smallCaps w:val="false"/>
        </w:rPr>
        <w:t> </w:t>
      </w:r>
    </w:p>
    <w:tbl>
      <w:tblPr>
        <w:tblW w:w="2703" w:type="dxa"/>
        <w:jc w:val="left"/>
        <w:tblInd w:w="0" w:type="dxa"/>
        <w:tblLayout w:type="fixed"/>
        <w:tblCellMar>
          <w:top w:w="0" w:type="dxa"/>
          <w:left w:w="0" w:type="dxa"/>
          <w:bottom w:w="0" w:type="dxa"/>
          <w:right w:w="0" w:type="dxa"/>
        </w:tblCellMar>
      </w:tblPr>
      <w:tblGrid>
        <w:gridCol w:w="38"/>
        <w:gridCol w:w="245"/>
        <w:gridCol w:w="24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(f)</w:t>
            </w:r>
          </w:p>
        </w:tc>
        <w:tc>
          <w:tcPr>
            <w:tcW w:w="2420" w:type="dxa"/>
            <w:tcBorders/>
            <w:vAlign w:val="center"/>
          </w:tcPr>
          <w:p>
            <w:pPr>
              <w:pStyle w:val="TableContents"/>
              <w:bidi w:val="0"/>
              <w:spacing w:before="0" w:after="283"/>
              <w:jc w:val="both"/>
              <w:rPr/>
            </w:pPr>
            <w:r>
              <w:rPr/>
              <w:t>Accounts receivable, net: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non-interest bearing and represent amounts billed and currently due from customers at the gross invoiced amount as well as unbilled amounts related to unconditional rights for consideration to be received for services performed but not yet invoiced. A receivable is recorded when Old Xanadu has an unconditional right to receive payment. Old Xanadu’s accounts receivable includes trade, interest and other types of receivables.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periodic basis, management evaluates its accounts receivable and determines whether to provide an allowance for credit losses. This assessment is based on management’s evaluation of the aging of accounts, historical collection experience and current economic expectations. As of December 31, 2025 and 2024, Old Xanadu has not recorded any allowance for doubtful accounts.</w:t>
      </w:r>
    </w:p>
    <w:p>
      <w:pPr>
        <w:pStyle w:val="TextBody"/>
        <w:bidi w:val="0"/>
        <w:spacing w:before="0" w:after="0"/>
        <w:jc w:val="both"/>
        <w:rPr>
          <w:caps w:val="false"/>
          <w:smallCaps w:val="false"/>
        </w:rPr>
      </w:pPr>
      <w:r>
        <w:rPr>
          <w:caps w:val="false"/>
          <w:smallCaps w:val="false"/>
        </w:rPr>
        <w:t> </w:t>
      </w:r>
    </w:p>
    <w:tbl>
      <w:tblPr>
        <w:tblW w:w="2928" w:type="dxa"/>
        <w:jc w:val="left"/>
        <w:tblInd w:w="0" w:type="dxa"/>
        <w:tblLayout w:type="fixed"/>
        <w:tblCellMar>
          <w:top w:w="0" w:type="dxa"/>
          <w:left w:w="0" w:type="dxa"/>
          <w:bottom w:w="0" w:type="dxa"/>
          <w:right w:w="0" w:type="dxa"/>
        </w:tblCellMar>
      </w:tblPr>
      <w:tblGrid>
        <w:gridCol w:w="38"/>
        <w:gridCol w:w="29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(g)</w:t>
            </w:r>
          </w:p>
        </w:tc>
        <w:tc>
          <w:tcPr>
            <w:tcW w:w="2600" w:type="dxa"/>
            <w:tcBorders/>
            <w:vAlign w:val="center"/>
          </w:tcPr>
          <w:p>
            <w:pPr>
              <w:pStyle w:val="TableContents"/>
              <w:bidi w:val="0"/>
              <w:spacing w:before="0" w:after="283"/>
              <w:jc w:val="both"/>
              <w:rPr/>
            </w:pPr>
            <w:r>
              <w:rPr/>
              <w:t>Materials and supplies, net: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Materials and supplies are carried at average cost and recorded in material and supplies in the consolidated balance sheets. Materials and supplies used in research and development efforts are expensed when consumed if an alternative use exists, otherwise are expensed when incurred. Old Xanadu expensed $8,277, $1,935, and $nil of materials and supplies consumed for the years ended December 31, 2025, 2024, and 2023 respectively.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Materials and supplies are evaluated for excess quantities and obsolescence. This evaluation includes an analysis of Old Xanadu’s current and future strategic plans, risk of technological obsolescence, and general market conditions. During the years ended December 31, 2025, 2024, and 2023 excess and obsolescence charges were $1,950, $nil, and $nil respectively.</w:t>
      </w:r>
    </w:p>
    <w:p>
      <w:pPr>
        <w:pStyle w:val="TextBody"/>
        <w:bidi w:val="0"/>
        <w:spacing w:before="0" w:after="0"/>
        <w:jc w:val="both"/>
        <w:rPr>
          <w:caps w:val="false"/>
          <w:smallCaps w:val="false"/>
        </w:rPr>
      </w:pPr>
      <w:r>
        <w:rPr>
          <w:caps w:val="false"/>
          <w:smallCaps w:val="false"/>
        </w:rPr>
        <w:t> </w:t>
      </w:r>
    </w:p>
    <w:tbl>
      <w:tblPr>
        <w:tblW w:w="3093" w:type="dxa"/>
        <w:jc w:val="left"/>
        <w:tblInd w:w="0" w:type="dxa"/>
        <w:tblLayout w:type="fixed"/>
        <w:tblCellMar>
          <w:top w:w="0" w:type="dxa"/>
          <w:left w:w="0" w:type="dxa"/>
          <w:bottom w:w="0" w:type="dxa"/>
          <w:right w:w="0" w:type="dxa"/>
        </w:tblCellMar>
      </w:tblPr>
      <w:tblGrid>
        <w:gridCol w:w="38"/>
        <w:gridCol w:w="29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(h)</w:t>
            </w:r>
          </w:p>
        </w:tc>
        <w:tc>
          <w:tcPr>
            <w:tcW w:w="2765" w:type="dxa"/>
            <w:tcBorders/>
            <w:vAlign w:val="center"/>
          </w:tcPr>
          <w:p>
            <w:pPr>
              <w:pStyle w:val="TableContents"/>
              <w:bidi w:val="0"/>
              <w:spacing w:before="0" w:after="283"/>
              <w:jc w:val="both"/>
              <w:rPr/>
            </w:pPr>
            <w:r>
              <w:rPr/>
              <w:t>Property and equipment, net: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acquisition cost, less accumulated depreciation and impairment. Depreciation on property and equipment is computed on a straight-line basis over the estimated useful lives of the assets at the time of acquisition. Leasehold improvements are amortized over the lesser of the term of the lease or the useful life of the asset.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F-49</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the Consolidated Statements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jc w:val="both"/>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215"/>
        <w:gridCol w:w="7670"/>
      </w:tblGrid>
      <w:tr>
        <w:trPr/>
        <w:tc>
          <w:tcPr>
            <w:tcW w:w="215" w:type="dxa"/>
            <w:tcBorders/>
            <w:vAlign w:val="center"/>
          </w:tcPr>
          <w:p>
            <w:pPr>
              <w:pStyle w:val="TableContents"/>
              <w:bidi w:val="0"/>
              <w:spacing w:before="0" w:after="283"/>
              <w:jc w:val="left"/>
              <w:rPr>
                <w:b/>
              </w:rPr>
            </w:pPr>
            <w:r>
              <w:rPr>
                <w:b/>
              </w:rPr>
              <w:t>2.</w:t>
            </w:r>
          </w:p>
        </w:tc>
        <w:tc>
          <w:tcPr>
            <w:tcW w:w="7670" w:type="dxa"/>
            <w:tcBorders/>
            <w:vAlign w:val="center"/>
          </w:tcPr>
          <w:p>
            <w:pPr>
              <w:pStyle w:val="TableContents"/>
              <w:bidi w:val="0"/>
              <w:spacing w:before="0" w:after="283"/>
              <w:jc w:val="both"/>
              <w:rPr/>
            </w:pPr>
            <w:r>
              <w:rPr>
                <w:b/>
              </w:rPr>
              <w:t>Basis of presentation and summary of significant accounting policies:</w:t>
            </w:r>
            <w:r>
              <w:rPr/>
              <w:t xml:space="preserve"> (cont.)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useful lives of Old Xanadu’s property and equipment are as follows:</w:t>
      </w:r>
    </w:p>
    <w:p>
      <w:pPr>
        <w:pStyle w:val="TextBody"/>
        <w:bidi w:val="0"/>
        <w:spacing w:before="0" w:after="0"/>
        <w:jc w:val="both"/>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2465"/>
        <w:gridCol w:w="60"/>
        <w:gridCol w:w="3575"/>
      </w:tblGrid>
      <w:tr>
        <w:trPr/>
        <w:tc>
          <w:tcPr>
            <w:tcW w:w="2465" w:type="dxa"/>
            <w:tcBorders/>
            <w:shd w:fill="CCEEFF" w:val="clear"/>
            <w:vAlign w:val="center"/>
          </w:tcPr>
          <w:p>
            <w:pPr>
              <w:pStyle w:val="TableContents"/>
              <w:bidi w:val="0"/>
              <w:spacing w:before="0" w:after="283"/>
              <w:jc w:val="both"/>
              <w:rPr>
                <w:sz w:val="20"/>
              </w:rPr>
            </w:pPr>
            <w:r>
              <w:rPr>
                <w:sz w:val="20"/>
              </w:rPr>
              <w:t>Computer systems and servers</w:t>
            </w:r>
          </w:p>
        </w:tc>
        <w:tc>
          <w:tcPr>
            <w:tcW w:w="60" w:type="dxa"/>
            <w:tcBorders/>
            <w:shd w:fill="CCEEFF" w:val="clear"/>
            <w:vAlign w:val="center"/>
          </w:tcPr>
          <w:p>
            <w:pPr>
              <w:pStyle w:val="TableContents"/>
              <w:bidi w:val="0"/>
              <w:spacing w:before="0" w:after="283"/>
              <w:jc w:val="left"/>
              <w:rPr/>
            </w:pPr>
            <w:r>
              <w:rPr/>
              <w:t> </w:t>
            </w:r>
          </w:p>
        </w:tc>
        <w:tc>
          <w:tcPr>
            <w:tcW w:w="3575" w:type="dxa"/>
            <w:tcBorders/>
            <w:shd w:fill="CCEEFF" w:val="clear"/>
            <w:vAlign w:val="center"/>
          </w:tcPr>
          <w:p>
            <w:pPr>
              <w:pStyle w:val="TableContents"/>
              <w:bidi w:val="0"/>
              <w:spacing w:before="0" w:after="283"/>
              <w:jc w:val="center"/>
              <w:rPr>
                <w:sz w:val="20"/>
              </w:rPr>
            </w:pPr>
            <w:r>
              <w:rPr>
                <w:sz w:val="20"/>
              </w:rPr>
              <w:t>3 years</w:t>
            </w:r>
          </w:p>
        </w:tc>
      </w:tr>
      <w:tr>
        <w:trPr/>
        <w:tc>
          <w:tcPr>
            <w:tcW w:w="2465" w:type="dxa"/>
            <w:tcBorders/>
            <w:shd w:fill="FFFFFF" w:val="clear"/>
            <w:vAlign w:val="center"/>
          </w:tcPr>
          <w:p>
            <w:pPr>
              <w:pStyle w:val="TableContents"/>
              <w:bidi w:val="0"/>
              <w:spacing w:before="0" w:after="283"/>
              <w:jc w:val="both"/>
              <w:rPr>
                <w:sz w:val="20"/>
              </w:rPr>
            </w:pPr>
            <w:r>
              <w:rPr>
                <w:sz w:val="20"/>
              </w:rPr>
              <w:t>Lab equipment</w:t>
            </w:r>
          </w:p>
        </w:tc>
        <w:tc>
          <w:tcPr>
            <w:tcW w:w="60" w:type="dxa"/>
            <w:tcBorders/>
            <w:shd w:fill="FFFFFF" w:val="clear"/>
            <w:vAlign w:val="center"/>
          </w:tcPr>
          <w:p>
            <w:pPr>
              <w:pStyle w:val="TableContents"/>
              <w:bidi w:val="0"/>
              <w:spacing w:before="0" w:after="283"/>
              <w:jc w:val="left"/>
              <w:rPr/>
            </w:pPr>
            <w:r>
              <w:rPr/>
              <w:t> </w:t>
            </w:r>
          </w:p>
        </w:tc>
        <w:tc>
          <w:tcPr>
            <w:tcW w:w="3575" w:type="dxa"/>
            <w:tcBorders/>
            <w:shd w:fill="FFFFFF" w:val="clear"/>
            <w:vAlign w:val="center"/>
          </w:tcPr>
          <w:p>
            <w:pPr>
              <w:pStyle w:val="TableContents"/>
              <w:bidi w:val="0"/>
              <w:spacing w:before="0" w:after="283"/>
              <w:jc w:val="center"/>
              <w:rPr>
                <w:sz w:val="20"/>
              </w:rPr>
            </w:pPr>
            <w:r>
              <w:rPr>
                <w:sz w:val="20"/>
              </w:rPr>
              <w:t>7 years</w:t>
            </w:r>
          </w:p>
        </w:tc>
      </w:tr>
      <w:tr>
        <w:trPr/>
        <w:tc>
          <w:tcPr>
            <w:tcW w:w="2465" w:type="dxa"/>
            <w:tcBorders/>
            <w:shd w:fill="CCEEFF" w:val="clear"/>
            <w:vAlign w:val="center"/>
          </w:tcPr>
          <w:p>
            <w:pPr>
              <w:pStyle w:val="TableContents"/>
              <w:bidi w:val="0"/>
              <w:spacing w:before="0" w:after="283"/>
              <w:jc w:val="both"/>
              <w:rPr>
                <w:sz w:val="20"/>
              </w:rPr>
            </w:pPr>
            <w:r>
              <w:rPr>
                <w:sz w:val="20"/>
              </w:rPr>
              <w:t>Test and computer equipment</w:t>
            </w:r>
          </w:p>
        </w:tc>
        <w:tc>
          <w:tcPr>
            <w:tcW w:w="60" w:type="dxa"/>
            <w:tcBorders/>
            <w:shd w:fill="CCEEFF" w:val="clear"/>
            <w:vAlign w:val="center"/>
          </w:tcPr>
          <w:p>
            <w:pPr>
              <w:pStyle w:val="TableContents"/>
              <w:bidi w:val="0"/>
              <w:spacing w:before="0" w:after="283"/>
              <w:jc w:val="left"/>
              <w:rPr/>
            </w:pPr>
            <w:r>
              <w:rPr/>
              <w:t> </w:t>
            </w:r>
          </w:p>
        </w:tc>
        <w:tc>
          <w:tcPr>
            <w:tcW w:w="3575" w:type="dxa"/>
            <w:tcBorders/>
            <w:shd w:fill="CCEEFF" w:val="clear"/>
            <w:vAlign w:val="center"/>
          </w:tcPr>
          <w:p>
            <w:pPr>
              <w:pStyle w:val="TableContents"/>
              <w:bidi w:val="0"/>
              <w:spacing w:before="0" w:after="283"/>
              <w:jc w:val="center"/>
              <w:rPr>
                <w:sz w:val="20"/>
              </w:rPr>
            </w:pPr>
            <w:r>
              <w:rPr>
                <w:sz w:val="20"/>
              </w:rPr>
              <w:t>7 years</w:t>
            </w:r>
          </w:p>
        </w:tc>
      </w:tr>
      <w:tr>
        <w:trPr/>
        <w:tc>
          <w:tcPr>
            <w:tcW w:w="2465" w:type="dxa"/>
            <w:tcBorders/>
            <w:shd w:fill="FFFFFF" w:val="clear"/>
            <w:vAlign w:val="center"/>
          </w:tcPr>
          <w:p>
            <w:pPr>
              <w:pStyle w:val="TableContents"/>
              <w:bidi w:val="0"/>
              <w:spacing w:before="0" w:after="283"/>
              <w:jc w:val="both"/>
              <w:rPr>
                <w:sz w:val="20"/>
              </w:rPr>
            </w:pPr>
            <w:r>
              <w:rPr>
                <w:sz w:val="20"/>
              </w:rPr>
              <w:t>Furniture and fixtures</w:t>
            </w:r>
          </w:p>
        </w:tc>
        <w:tc>
          <w:tcPr>
            <w:tcW w:w="60" w:type="dxa"/>
            <w:tcBorders/>
            <w:shd w:fill="FFFFFF" w:val="clear"/>
            <w:vAlign w:val="center"/>
          </w:tcPr>
          <w:p>
            <w:pPr>
              <w:pStyle w:val="TableContents"/>
              <w:bidi w:val="0"/>
              <w:spacing w:before="0" w:after="283"/>
              <w:jc w:val="left"/>
              <w:rPr/>
            </w:pPr>
            <w:r>
              <w:rPr/>
              <w:t> </w:t>
            </w:r>
          </w:p>
        </w:tc>
        <w:tc>
          <w:tcPr>
            <w:tcW w:w="3575" w:type="dxa"/>
            <w:tcBorders/>
            <w:shd w:fill="FFFFFF" w:val="clear"/>
            <w:vAlign w:val="center"/>
          </w:tcPr>
          <w:p>
            <w:pPr>
              <w:pStyle w:val="TableContents"/>
              <w:bidi w:val="0"/>
              <w:spacing w:before="0" w:after="283"/>
              <w:jc w:val="center"/>
              <w:rPr>
                <w:sz w:val="20"/>
              </w:rPr>
            </w:pPr>
            <w:r>
              <w:rPr>
                <w:sz w:val="20"/>
              </w:rPr>
              <w:t>3 years</w:t>
            </w:r>
          </w:p>
        </w:tc>
      </w:tr>
      <w:tr>
        <w:trPr/>
        <w:tc>
          <w:tcPr>
            <w:tcW w:w="2465" w:type="dxa"/>
            <w:tcBorders/>
            <w:shd w:fill="CCEEFF" w:val="clear"/>
            <w:vAlign w:val="center"/>
          </w:tcPr>
          <w:p>
            <w:pPr>
              <w:pStyle w:val="TableContents"/>
              <w:bidi w:val="0"/>
              <w:spacing w:before="0" w:after="283"/>
              <w:jc w:val="left"/>
              <w:rPr>
                <w:sz w:val="20"/>
              </w:rPr>
            </w:pPr>
            <w:r>
              <w:rPr>
                <w:sz w:val="20"/>
              </w:rPr>
              <w:t>Leasehold improvements</w:t>
            </w:r>
          </w:p>
        </w:tc>
        <w:tc>
          <w:tcPr>
            <w:tcW w:w="60" w:type="dxa"/>
            <w:tcBorders/>
            <w:shd w:fill="CCEEFF" w:val="clear"/>
            <w:vAlign w:val="center"/>
          </w:tcPr>
          <w:p>
            <w:pPr>
              <w:pStyle w:val="TableContents"/>
              <w:bidi w:val="0"/>
              <w:spacing w:before="0" w:after="283"/>
              <w:jc w:val="left"/>
              <w:rPr/>
            </w:pPr>
            <w:r>
              <w:rPr/>
              <w:t> </w:t>
            </w:r>
          </w:p>
        </w:tc>
        <w:tc>
          <w:tcPr>
            <w:tcW w:w="3575" w:type="dxa"/>
            <w:tcBorders/>
            <w:shd w:fill="CCEEFF" w:val="clear"/>
            <w:vAlign w:val="center"/>
          </w:tcPr>
          <w:p>
            <w:pPr>
              <w:pStyle w:val="TableContents"/>
              <w:bidi w:val="0"/>
              <w:spacing w:before="0" w:after="283"/>
              <w:jc w:val="center"/>
              <w:rPr>
                <w:sz w:val="20"/>
              </w:rPr>
            </w:pPr>
            <w:r>
              <w:rPr>
                <w:sz w:val="20"/>
              </w:rPr>
              <w:t>Shorter of lease term or estimated useful life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Repairs and maintenance costs are expensed as incurred. Upon disposition of property and equipment, the cost and related accumulated depreciation are derecognized and any resulting gain or loss is reflected in other income (expense), net within the consolidated statements of operations and comprehensive loss.</w:t>
      </w:r>
    </w:p>
    <w:p>
      <w:pPr>
        <w:pStyle w:val="TextBody"/>
        <w:bidi w:val="0"/>
        <w:spacing w:before="0" w:after="0"/>
        <w:jc w:val="both"/>
        <w:rPr>
          <w:caps w:val="false"/>
          <w:smallCaps w:val="false"/>
        </w:rPr>
      </w:pPr>
      <w:r>
        <w:rPr>
          <w:caps w:val="false"/>
          <w:smallCaps w:val="false"/>
        </w:rPr>
        <w:t> </w:t>
      </w:r>
    </w:p>
    <w:tbl>
      <w:tblPr>
        <w:tblW w:w="2313" w:type="dxa"/>
        <w:jc w:val="left"/>
        <w:tblInd w:w="0" w:type="dxa"/>
        <w:tblLayout w:type="fixed"/>
        <w:tblCellMar>
          <w:top w:w="0" w:type="dxa"/>
          <w:left w:w="0" w:type="dxa"/>
          <w:bottom w:w="0" w:type="dxa"/>
          <w:right w:w="0" w:type="dxa"/>
        </w:tblCellMar>
      </w:tblPr>
      <w:tblGrid>
        <w:gridCol w:w="38"/>
        <w:gridCol w:w="230"/>
        <w:gridCol w:w="20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2045" w:type="dxa"/>
            <w:tcBorders/>
            <w:vAlign w:val="center"/>
          </w:tcPr>
          <w:p>
            <w:pPr>
              <w:pStyle w:val="TableContents"/>
              <w:bidi w:val="0"/>
              <w:spacing w:before="0" w:after="283"/>
              <w:jc w:val="both"/>
              <w:rPr/>
            </w:pPr>
            <w:r>
              <w:rPr/>
              <w:t>Intangible assets, net: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Xanadu’s intangible assets include patents and external software licenses, which are carried at cost less accumulated amortization and impairment. Intangible assets with finite useful lives are amortized over their estimated useful lives on a straight-line basis.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capitalizes costs associated with internal use software incurred during the application development stage. Capitalized costs include external direct costs of materials and services utilized in developing or obtaining internal-use software and payroll and payroll-related expenses for employees who are directly associated with and allocate time to the internal-use software project. Capitalization of such costs begins when the preliminary project stage is complete and ceases when the project is substantially complete and ready for its intended purpose. Costs incurred during the preliminary project and post-implementation stages are charged to expense.</w:t>
      </w:r>
    </w:p>
    <w:p>
      <w:pPr>
        <w:pStyle w:val="TextBody"/>
        <w:bidi w:val="0"/>
        <w:spacing w:before="0" w:after="0"/>
        <w:jc w:val="both"/>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3185"/>
        <w:gridCol w:w="60"/>
        <w:gridCol w:w="605"/>
      </w:tblGrid>
      <w:tr>
        <w:trPr/>
        <w:tc>
          <w:tcPr>
            <w:tcW w:w="3185" w:type="dxa"/>
            <w:tcBorders/>
            <w:shd w:fill="CCEEFF" w:val="clear"/>
            <w:vAlign w:val="center"/>
          </w:tcPr>
          <w:p>
            <w:pPr>
              <w:pStyle w:val="TableContents"/>
              <w:bidi w:val="0"/>
              <w:spacing w:before="0" w:after="283"/>
              <w:jc w:val="both"/>
              <w:rPr>
                <w:sz w:val="20"/>
              </w:rPr>
            </w:pPr>
            <w:r>
              <w:rPr>
                <w:sz w:val="20"/>
              </w:rPr>
              <w:t>Patents</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center"/>
              <w:rPr>
                <w:sz w:val="20"/>
              </w:rPr>
            </w:pPr>
            <w:r>
              <w:rPr>
                <w:sz w:val="20"/>
              </w:rPr>
              <w:t>3 years</w:t>
            </w:r>
          </w:p>
        </w:tc>
      </w:tr>
      <w:tr>
        <w:trPr/>
        <w:tc>
          <w:tcPr>
            <w:tcW w:w="3185" w:type="dxa"/>
            <w:tcBorders/>
            <w:shd w:fill="FFFFFF" w:val="clear"/>
            <w:vAlign w:val="center"/>
          </w:tcPr>
          <w:p>
            <w:pPr>
              <w:pStyle w:val="TableContents"/>
              <w:bidi w:val="0"/>
              <w:spacing w:before="0" w:after="283"/>
              <w:jc w:val="both"/>
              <w:rPr>
                <w:sz w:val="20"/>
              </w:rPr>
            </w:pPr>
            <w:r>
              <w:rPr>
                <w:sz w:val="20"/>
              </w:rPr>
              <w:t>Internally developed software</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sz w:val="20"/>
              </w:rPr>
            </w:pPr>
            <w:r>
              <w:rPr>
                <w:sz w:val="20"/>
              </w:rPr>
              <w:t>5 years</w:t>
            </w:r>
          </w:p>
        </w:tc>
      </w:tr>
      <w:tr>
        <w:trPr/>
        <w:tc>
          <w:tcPr>
            <w:tcW w:w="3185" w:type="dxa"/>
            <w:tcBorders/>
            <w:shd w:fill="CCEEFF" w:val="clear"/>
            <w:vAlign w:val="center"/>
          </w:tcPr>
          <w:p>
            <w:pPr>
              <w:pStyle w:val="TableContents"/>
              <w:bidi w:val="0"/>
              <w:spacing w:before="0" w:after="283"/>
              <w:jc w:val="both"/>
              <w:rPr>
                <w:sz w:val="20"/>
              </w:rPr>
            </w:pPr>
            <w:r>
              <w:rPr>
                <w:sz w:val="20"/>
              </w:rPr>
              <w:t>Third-party perpetual software licenses</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center"/>
              <w:rPr>
                <w:sz w:val="20"/>
              </w:rPr>
            </w:pPr>
            <w:r>
              <w:rPr>
                <w:sz w:val="20"/>
              </w:rPr>
              <w:t>3 years</w:t>
            </w:r>
          </w:p>
        </w:tc>
      </w:tr>
    </w:tbl>
    <w:p>
      <w:pPr>
        <w:pStyle w:val="TextBody"/>
        <w:bidi w:val="0"/>
        <w:spacing w:before="0" w:after="0"/>
        <w:jc w:val="both"/>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38"/>
        <w:gridCol w:w="230"/>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(j)</w:t>
            </w:r>
          </w:p>
        </w:tc>
        <w:tc>
          <w:tcPr>
            <w:tcW w:w="3050" w:type="dxa"/>
            <w:tcBorders/>
            <w:vAlign w:val="center"/>
          </w:tcPr>
          <w:p>
            <w:pPr>
              <w:pStyle w:val="TableContents"/>
              <w:bidi w:val="0"/>
              <w:spacing w:before="0" w:after="283"/>
              <w:jc w:val="both"/>
              <w:rPr/>
            </w:pPr>
            <w:r>
              <w:rPr/>
              <w:t>Impairment of long-lived assets: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including property and equipment and finite-lived intangible assets, are reviewed for impairment whenever events or changes in circumstances indicate that the carrying amounts of such assets may not be recoverable. The determination of whether any impairment exists includes a comparison of estimated undiscounted future cash flows anticipated to be generated over the remaining life of the asset or asset group to its net carrying value. If the estimated undiscounted future cash flows associated with the asset or asset group are less than the carrying value, an impairment loss is recognized to the extent the carrying amount of the asset or asset group exceeds its fair value. Old Xanadu did not recognize any impairment losses on long-lived assets during the years ended December 31, 2025, 2024, and 2023.</w:t>
      </w:r>
    </w:p>
    <w:p>
      <w:pPr>
        <w:pStyle w:val="TextBody"/>
        <w:bidi w:val="0"/>
        <w:spacing w:before="0" w:after="0"/>
        <w:jc w:val="both"/>
        <w:rPr>
          <w:caps w:val="false"/>
          <w:smallCaps w:val="false"/>
        </w:rPr>
      </w:pPr>
      <w:r>
        <w:rPr>
          <w:caps w:val="false"/>
          <w:smallCaps w:val="false"/>
        </w:rPr>
        <w:t> </w:t>
      </w:r>
    </w:p>
    <w:tbl>
      <w:tblPr>
        <w:tblW w:w="4653" w:type="dxa"/>
        <w:jc w:val="left"/>
        <w:tblInd w:w="0" w:type="dxa"/>
        <w:tblLayout w:type="fixed"/>
        <w:tblCellMar>
          <w:top w:w="0" w:type="dxa"/>
          <w:left w:w="0" w:type="dxa"/>
          <w:bottom w:w="0" w:type="dxa"/>
          <w:right w:w="0" w:type="dxa"/>
        </w:tblCellMar>
      </w:tblPr>
      <w:tblGrid>
        <w:gridCol w:w="38"/>
        <w:gridCol w:w="290"/>
        <w:gridCol w:w="432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(k)</w:t>
            </w:r>
          </w:p>
        </w:tc>
        <w:tc>
          <w:tcPr>
            <w:tcW w:w="4325" w:type="dxa"/>
            <w:tcBorders/>
            <w:vAlign w:val="center"/>
          </w:tcPr>
          <w:p>
            <w:pPr>
              <w:pStyle w:val="TableContents"/>
              <w:bidi w:val="0"/>
              <w:spacing w:before="0" w:after="283"/>
              <w:jc w:val="both"/>
              <w:rPr/>
            </w:pPr>
            <w:r>
              <w:rPr/>
              <w:t>Foreign currency translation and transactions: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Xanadu’s reporting currency is the U.S. dollar and its functional currency is the Canadian dollar. The functional currency of Old Xanadu’s international subsidiaries is the currency of their primary economic environment. The results and financial position of the parent entity and foreign subsidiaries whose functional currency is not the U.S. dollar are translated at exchange rates in effect as of the consolidated balance sheet dates for assets and liabilities and at average exchange rates for revenues and expenses for the respective periods. Translation adjustments are included as a cumulative translation adjustment in accumulated other comprehensive income (loss).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F-50</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i w:val="false"/>
          <w:caps w:val="false"/>
          <w:smallCaps w:val="false"/>
          <w:sz w:val="20"/>
        </w:rPr>
        <w:br/>
        <w:t>Notes to the Consolidated Statements</w:t>
        <w:br/>
        <w:t>(In thousands, except for share and per share amounts) </w:t>
      </w:r>
    </w:p>
    <w:p>
      <w:pPr>
        <w:pStyle w:val="TextBody"/>
        <w:bidi w:val="0"/>
        <w:spacing w:before="0" w:after="0"/>
        <w:jc w:val="both"/>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215"/>
        <w:gridCol w:w="7670"/>
      </w:tblGrid>
      <w:tr>
        <w:trPr/>
        <w:tc>
          <w:tcPr>
            <w:tcW w:w="215" w:type="dxa"/>
            <w:tcBorders/>
            <w:vAlign w:val="center"/>
          </w:tcPr>
          <w:p>
            <w:pPr>
              <w:pStyle w:val="TableContents"/>
              <w:bidi w:val="0"/>
              <w:spacing w:before="0" w:after="283"/>
              <w:jc w:val="left"/>
              <w:rPr>
                <w:b/>
              </w:rPr>
            </w:pPr>
            <w:r>
              <w:rPr>
                <w:b/>
              </w:rPr>
              <w:t>2.</w:t>
            </w:r>
          </w:p>
        </w:tc>
        <w:tc>
          <w:tcPr>
            <w:tcW w:w="7670" w:type="dxa"/>
            <w:tcBorders/>
            <w:vAlign w:val="center"/>
          </w:tcPr>
          <w:p>
            <w:pPr>
              <w:pStyle w:val="TableContents"/>
              <w:bidi w:val="0"/>
              <w:spacing w:before="0" w:after="283"/>
              <w:jc w:val="both"/>
              <w:rPr/>
            </w:pPr>
            <w:r>
              <w:rPr>
                <w:b/>
              </w:rPr>
              <w:t>Basis of presentation and summary of significant accounting policies:</w:t>
            </w:r>
            <w:r>
              <w:rPr/>
              <w:t xml:space="preserve"> (cont.)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Monetary assets and liabilities that are denominated in a currency other than Old Xanadu’s functional currency are translated into the functional currency using the exchange rates in effect as of the consolidated balance sheet dates, and revenues and expenses are translated at the exchange rates prevailing when the transactions occurred. Gains and losses resulting from translation are recognized in other income (expense), net in the consolidated statements of operations and comprehensive loss in the period in which they arise. Non-monetary assets and liabilities are translated at historical exchange rates.</w:t>
      </w:r>
    </w:p>
    <w:p>
      <w:pPr>
        <w:pStyle w:val="TextBody"/>
        <w:bidi w:val="0"/>
        <w:spacing w:before="0" w:after="0"/>
        <w:jc w:val="both"/>
        <w:rPr>
          <w:caps w:val="false"/>
          <w:smallCaps w:val="false"/>
        </w:rPr>
      </w:pPr>
      <w:r>
        <w:rPr>
          <w:caps w:val="false"/>
          <w:smallCaps w:val="false"/>
        </w:rPr>
        <w:t> </w:t>
      </w:r>
    </w:p>
    <w:tbl>
      <w:tblPr>
        <w:tblW w:w="2328" w:type="dxa"/>
        <w:jc w:val="left"/>
        <w:tblInd w:w="0" w:type="dxa"/>
        <w:tblLayout w:type="fixed"/>
        <w:tblCellMar>
          <w:top w:w="0" w:type="dxa"/>
          <w:left w:w="0" w:type="dxa"/>
          <w:bottom w:w="0" w:type="dxa"/>
          <w:right w:w="0" w:type="dxa"/>
        </w:tblCellMar>
      </w:tblPr>
      <w:tblGrid>
        <w:gridCol w:w="38"/>
        <w:gridCol w:w="230"/>
        <w:gridCol w:w="20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(l)</w:t>
            </w:r>
          </w:p>
        </w:tc>
        <w:tc>
          <w:tcPr>
            <w:tcW w:w="2060" w:type="dxa"/>
            <w:tcBorders/>
            <w:vAlign w:val="center"/>
          </w:tcPr>
          <w:p>
            <w:pPr>
              <w:pStyle w:val="TableContents"/>
              <w:bidi w:val="0"/>
              <w:spacing w:before="0" w:after="283"/>
              <w:jc w:val="both"/>
              <w:rPr/>
            </w:pPr>
            <w:r>
              <w:rPr/>
              <w:t>Revenue recognition: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derives revenue primarily from: (i) professional services related to research projects, proof of concept development, and quantum education and (ii) compute and other services which includes provision of compute services, such as co-development and execution of quantum algorithms on Old Xanadu’s quantum computing systems, and provision, on a non-exclusive basis via access to its photonic based-hardware, of quantum-computing-as-a-service (“QCaaS”).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based on the following five step model in accordance with Accounting Standards Codification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tbl>
      <w:tblPr>
        <w:tblW w:w="2193" w:type="dxa"/>
        <w:jc w:val="left"/>
        <w:tblInd w:w="0" w:type="dxa"/>
        <w:tblLayout w:type="fixed"/>
        <w:tblCellMar>
          <w:top w:w="0" w:type="dxa"/>
          <w:left w:w="0" w:type="dxa"/>
          <w:bottom w:w="0" w:type="dxa"/>
          <w:right w:w="0" w:type="dxa"/>
        </w:tblCellMar>
      </w:tblPr>
      <w:tblGrid>
        <w:gridCol w:w="38"/>
        <w:gridCol w:w="170"/>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85" w:type="dxa"/>
            <w:tcBorders/>
            <w:vAlign w:val="center"/>
          </w:tcPr>
          <w:p>
            <w:pPr>
              <w:pStyle w:val="TableContents"/>
              <w:bidi w:val="0"/>
              <w:spacing w:before="0" w:after="283"/>
              <w:jc w:val="both"/>
              <w:rPr/>
            </w:pPr>
            <w:r>
              <w:rPr/>
              <w:t>Identify the contract,</w:t>
            </w:r>
          </w:p>
        </w:tc>
      </w:tr>
    </w:tbl>
    <w:p>
      <w:pPr>
        <w:pStyle w:val="TextBody"/>
        <w:bidi w:val="0"/>
        <w:spacing w:before="0" w:after="0"/>
        <w:jc w:val="both"/>
        <w:rPr>
          <w:caps w:val="false"/>
          <w:smallCaps w:val="false"/>
        </w:rPr>
      </w:pPr>
      <w:r>
        <w:rPr>
          <w:caps w:val="false"/>
          <w:smallCaps w:val="false"/>
        </w:rPr>
        <w:t> </w:t>
      </w:r>
    </w:p>
    <w:tbl>
      <w:tblPr>
        <w:tblW w:w="3723" w:type="dxa"/>
        <w:jc w:val="left"/>
        <w:tblInd w:w="0" w:type="dxa"/>
        <w:tblLayout w:type="fixed"/>
        <w:tblCellMar>
          <w:top w:w="0" w:type="dxa"/>
          <w:left w:w="0" w:type="dxa"/>
          <w:bottom w:w="0" w:type="dxa"/>
          <w:right w:w="0" w:type="dxa"/>
        </w:tblCellMar>
      </w:tblPr>
      <w:tblGrid>
        <w:gridCol w:w="38"/>
        <w:gridCol w:w="170"/>
        <w:gridCol w:w="3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15" w:type="dxa"/>
            <w:tcBorders/>
            <w:vAlign w:val="center"/>
          </w:tcPr>
          <w:p>
            <w:pPr>
              <w:pStyle w:val="TableContents"/>
              <w:bidi w:val="0"/>
              <w:spacing w:before="0" w:after="283"/>
              <w:jc w:val="both"/>
              <w:rPr/>
            </w:pPr>
            <w:r>
              <w:rPr/>
              <w:t>Identify the performance obligations,</w:t>
            </w:r>
          </w:p>
        </w:tc>
      </w:tr>
    </w:tbl>
    <w:p>
      <w:pPr>
        <w:pStyle w:val="TextBody"/>
        <w:bidi w:val="0"/>
        <w:spacing w:before="0" w:after="0"/>
        <w:jc w:val="both"/>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17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35" w:type="dxa"/>
            <w:tcBorders/>
            <w:vAlign w:val="center"/>
          </w:tcPr>
          <w:p>
            <w:pPr>
              <w:pStyle w:val="TableContents"/>
              <w:bidi w:val="0"/>
              <w:spacing w:before="0" w:after="283"/>
              <w:jc w:val="both"/>
              <w:rPr/>
            </w:pPr>
            <w:r>
              <w:rPr/>
              <w:t>Determine the transaction price,</w:t>
            </w:r>
          </w:p>
        </w:tc>
      </w:tr>
    </w:tbl>
    <w:p>
      <w:pPr>
        <w:pStyle w:val="TextBody"/>
        <w:bidi w:val="0"/>
        <w:spacing w:before="0" w:after="0"/>
        <w:jc w:val="both"/>
        <w:rPr>
          <w:caps w:val="false"/>
          <w:smallCaps w:val="false"/>
        </w:rPr>
      </w:pPr>
      <w:r>
        <w:rPr>
          <w:caps w:val="false"/>
          <w:smallCaps w:val="false"/>
        </w:rPr>
        <w:t> </w:t>
      </w:r>
    </w:p>
    <w:tbl>
      <w:tblPr>
        <w:tblW w:w="6378" w:type="dxa"/>
        <w:jc w:val="left"/>
        <w:tblInd w:w="0" w:type="dxa"/>
        <w:tblLayout w:type="fixed"/>
        <w:tblCellMar>
          <w:top w:w="0" w:type="dxa"/>
          <w:left w:w="0" w:type="dxa"/>
          <w:bottom w:w="0" w:type="dxa"/>
          <w:right w:w="0" w:type="dxa"/>
        </w:tblCellMar>
      </w:tblPr>
      <w:tblGrid>
        <w:gridCol w:w="38"/>
        <w:gridCol w:w="170"/>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283"/>
              <w:jc w:val="both"/>
              <w:rPr/>
            </w:pPr>
            <w:r>
              <w:rPr/>
              <w:t>Allocate the transaction price to the performance obligations, and</w:t>
            </w:r>
          </w:p>
        </w:tc>
      </w:tr>
    </w:tbl>
    <w:p>
      <w:pPr>
        <w:pStyle w:val="TextBody"/>
        <w:bidi w:val="0"/>
        <w:spacing w:before="0" w:after="0"/>
        <w:jc w:val="both"/>
        <w:rPr>
          <w:caps w:val="false"/>
          <w:smallCaps w:val="false"/>
        </w:rPr>
      </w:pPr>
      <w:r>
        <w:rPr>
          <w:caps w:val="false"/>
          <w:smallCaps w:val="false"/>
        </w:rPr>
        <w:t> </w:t>
      </w:r>
    </w:p>
    <w:tbl>
      <w:tblPr>
        <w:tblW w:w="7503" w:type="dxa"/>
        <w:jc w:val="left"/>
        <w:tblInd w:w="0" w:type="dxa"/>
        <w:tblLayout w:type="fixed"/>
        <w:tblCellMar>
          <w:top w:w="0" w:type="dxa"/>
          <w:left w:w="0" w:type="dxa"/>
          <w:bottom w:w="0" w:type="dxa"/>
          <w:right w:w="0" w:type="dxa"/>
        </w:tblCellMar>
      </w:tblPr>
      <w:tblGrid>
        <w:gridCol w:w="38"/>
        <w:gridCol w:w="17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both"/>
              <w:rPr/>
            </w:pPr>
            <w:r>
              <w:rPr/>
              <w:t>Recognize revenue when (or as) the entity satisfies a performance obligation.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enters into contracts that can include various combinations of products and services, which are generally capable of being distinct and accounted for as separate performance obligations. Payment terms on invoiced amounts are typically net 30 days or less. Contract durations generally range from six months to several years. A contract’s transaction price is allocated to each distinct performance obligation based on their estimated standalone selling price. Old Xanadu determines standalone selling price based on the observable price of a product or service when it sells the products or services separately in similar circumstances and to similar customers. Certain products and services have limited or no history of being sold on a standalone basis. In these instances, Old Xanadu determines standalone selling price by considering its overall pricing objectives and market conditions, including cost plus a reasonable margin. Significant pricing practices considered include Old Xanadu’s discounting practices, the value of the contracts, historical standalone sales, customer demographics, geographic locations, and the number and types of users within the contracts.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net of taxes collected from customers, which are subsequently remitted to governmental authorities.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services arrangements often include a series of activities with progress billing milestones. Old Xanadu’s professional services constitute an activity that provides benefits that the customer receives and consumes as the services are performed. The transaction price is generally fixed and stated in the contract with the customer. Professional services revenue is recognized based on hours and, or costs incurred as appropriate. Revenue for partially completed professional service performance obligations deemed probable of being met is recognized using an input measure based on actual labor hours incurred to date relative to total estimated labor hours required to complete the project. For fixed price contracts, revenue is recognized based on the input measure noted above as control is expected to transfer over the period that the project is completed.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F-51</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i w:val="false"/>
          <w:caps w:val="false"/>
          <w:smallCaps w:val="false"/>
          <w:sz w:val="20"/>
        </w:rPr>
        <w:br/>
        <w:t>Notes to the Consolidated Statements</w:t>
        <w:br/>
        <w:t>(In thousands, except for share and per share amounts) </w:t>
      </w:r>
    </w:p>
    <w:p>
      <w:pPr>
        <w:pStyle w:val="TextBody"/>
        <w:bidi w:val="0"/>
        <w:spacing w:before="0" w:after="0"/>
        <w:jc w:val="both"/>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215"/>
        <w:gridCol w:w="7670"/>
      </w:tblGrid>
      <w:tr>
        <w:trPr/>
        <w:tc>
          <w:tcPr>
            <w:tcW w:w="215" w:type="dxa"/>
            <w:tcBorders/>
            <w:vAlign w:val="center"/>
          </w:tcPr>
          <w:p>
            <w:pPr>
              <w:pStyle w:val="TableContents"/>
              <w:bidi w:val="0"/>
              <w:spacing w:before="0" w:after="283"/>
              <w:jc w:val="left"/>
              <w:rPr>
                <w:b/>
              </w:rPr>
            </w:pPr>
            <w:r>
              <w:rPr>
                <w:b/>
              </w:rPr>
              <w:t>2.</w:t>
            </w:r>
          </w:p>
        </w:tc>
        <w:tc>
          <w:tcPr>
            <w:tcW w:w="7670" w:type="dxa"/>
            <w:tcBorders/>
            <w:vAlign w:val="center"/>
          </w:tcPr>
          <w:p>
            <w:pPr>
              <w:pStyle w:val="TableContents"/>
              <w:bidi w:val="0"/>
              <w:spacing w:before="0" w:after="283"/>
              <w:jc w:val="both"/>
              <w:rPr/>
            </w:pPr>
            <w:r>
              <w:rPr>
                <w:b/>
              </w:rPr>
              <w:t>Basis of presentation and summary of significant accounting policies:</w:t>
            </w:r>
            <w:r>
              <w:rPr/>
              <w:t xml:space="preserve"> (cont.)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has determined that its QCaaS, including non-exclusive access to photonic hardware, is a stand-ready performance obligation to provide ongoing access to its cloud-based quantum technology platform service. The transaction price generally consists of a fixed fee for a stated volume of usage to be made available over a defined period of access. Fixed fee arrangements may also include a variable component whereby customers pay additional fees for usage exceeding contractual volume as defined by the contractual agreements. The performance obligation related to the fixed fee is satisfied over time and revenue is recognized on a straight-line basis over the access period. Any additional fees relating to extra usage are recognized in the period they occur.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Xanadu’s compute services represent a performance obligation that is satisfied over-time. Revenue is recognized on a straight-line basis over the contract term.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billings and cash collection may result in accounts receivable, contract assets, and deferred revenue on Old Xanadu’s consolidated balance sheets. A receivable is recorded in the period in which Old Xanadu provides services when it has an unconditional right to payment. Contract assets represent rights to consideration for services completed and revenue recognized for contracts that have not yet been invoiced to customers, which have been included within accounts receivable on the consolidated balance sheets.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records deferred revenue when amounts are invoiced under contract terms or payments are received in advance of revenue recognition from products or services described above. Deferred revenue is recognized as and when the related performance obligations are satisfied.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defers commission payments to employees or third parties that are direct and incremental to the acquisition of customer contracts in the period the contract is executed and are recognized into sales and marketing expense over a period consistent with the transfer of goods or services to the customer if that period is greater than one year. No such costs were incurred in the years presented.</w:t>
      </w:r>
    </w:p>
    <w:p>
      <w:pPr>
        <w:pStyle w:val="TextBody"/>
        <w:bidi w:val="0"/>
        <w:spacing w:before="0" w:after="0"/>
        <w:jc w:val="both"/>
        <w:rPr>
          <w:caps w:val="false"/>
          <w:smallCaps w:val="false"/>
        </w:rPr>
      </w:pPr>
      <w:r>
        <w:rPr>
          <w:caps w:val="false"/>
          <w:smallCaps w:val="false"/>
        </w:rPr>
        <w:t> </w:t>
      </w:r>
    </w:p>
    <w:tbl>
      <w:tblPr>
        <w:tblW w:w="1923" w:type="dxa"/>
        <w:jc w:val="left"/>
        <w:tblInd w:w="0" w:type="dxa"/>
        <w:tblLayout w:type="fixed"/>
        <w:tblCellMar>
          <w:top w:w="0" w:type="dxa"/>
          <w:left w:w="0" w:type="dxa"/>
          <w:bottom w:w="0" w:type="dxa"/>
          <w:right w:w="0" w:type="dxa"/>
        </w:tblCellMar>
      </w:tblPr>
      <w:tblGrid>
        <w:gridCol w:w="38"/>
        <w:gridCol w:w="35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(m)</w:t>
            </w:r>
          </w:p>
        </w:tc>
        <w:tc>
          <w:tcPr>
            <w:tcW w:w="1535" w:type="dxa"/>
            <w:tcBorders/>
            <w:vAlign w:val="center"/>
          </w:tcPr>
          <w:p>
            <w:pPr>
              <w:pStyle w:val="TableContents"/>
              <w:bidi w:val="0"/>
              <w:spacing w:before="0" w:after="283"/>
              <w:jc w:val="both"/>
              <w:rPr/>
            </w:pPr>
            <w:r>
              <w:rPr/>
              <w:t>Cost of revenue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consists of direct expenses related to building specialized quantum hardware and delivering Old Xanadu’s services. Cost of revenue includes direct manufacturing costs, personnel-related expenses, including stock-based compensation, and overhead costs, including operating lease expenses, allocated to customer-facing functions. Depreciation and amortization of quantum systems and related software are excluded from cost of revenue.</w:t>
      </w:r>
    </w:p>
    <w:p>
      <w:pPr>
        <w:pStyle w:val="TextBody"/>
        <w:bidi w:val="0"/>
        <w:spacing w:before="0" w:after="0"/>
        <w:jc w:val="both"/>
        <w:rPr>
          <w:caps w:val="false"/>
          <w:smallCaps w:val="false"/>
        </w:rPr>
      </w:pPr>
      <w:r>
        <w:rPr>
          <w:caps w:val="false"/>
          <w:smallCaps w:val="false"/>
        </w:rPr>
        <w:t> </w:t>
      </w:r>
    </w:p>
    <w:tbl>
      <w:tblPr>
        <w:tblW w:w="2973" w:type="dxa"/>
        <w:jc w:val="left"/>
        <w:tblInd w:w="0" w:type="dxa"/>
        <w:tblLayout w:type="fixed"/>
        <w:tblCellMar>
          <w:top w:w="0" w:type="dxa"/>
          <w:left w:w="0" w:type="dxa"/>
          <w:bottom w:w="0" w:type="dxa"/>
          <w:right w:w="0" w:type="dxa"/>
        </w:tblCellMar>
      </w:tblPr>
      <w:tblGrid>
        <w:gridCol w:w="38"/>
        <w:gridCol w:w="29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(n)</w:t>
            </w:r>
          </w:p>
        </w:tc>
        <w:tc>
          <w:tcPr>
            <w:tcW w:w="2645" w:type="dxa"/>
            <w:tcBorders/>
            <w:vAlign w:val="center"/>
          </w:tcPr>
          <w:p>
            <w:pPr>
              <w:pStyle w:val="TableContents"/>
              <w:bidi w:val="0"/>
              <w:spacing w:before="0" w:after="283"/>
              <w:jc w:val="both"/>
              <w:rPr/>
            </w:pPr>
            <w:r>
              <w:rPr/>
              <w:t>Research and development: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are charged to the consolidated statement of operations and comprehensive loss as incurred. Research and development expenses are comprised of costs in performing research and development activities and include personnel-related costs, process development costs, chip fabrication costs, consulting fees, lab materials, software costs, cloud computing costs, and other related costs.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tangible assets or software to be used in research and development activities is constructed by Old Xanadu or acquired, the costs are expensed as incurred unless those assets have an alternative future use. When assets with alternative future use are consumed in research and development activities they are recorded as research and development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the Consolidated Statements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jc w:val="both"/>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215"/>
        <w:gridCol w:w="7670"/>
      </w:tblGrid>
      <w:tr>
        <w:trPr/>
        <w:tc>
          <w:tcPr>
            <w:tcW w:w="215" w:type="dxa"/>
            <w:tcBorders/>
            <w:vAlign w:val="center"/>
          </w:tcPr>
          <w:p>
            <w:pPr>
              <w:pStyle w:val="TableContents"/>
              <w:bidi w:val="0"/>
              <w:spacing w:before="0" w:after="283"/>
              <w:jc w:val="left"/>
              <w:rPr>
                <w:b/>
              </w:rPr>
            </w:pPr>
            <w:r>
              <w:rPr>
                <w:b/>
              </w:rPr>
              <w:t>2.</w:t>
            </w:r>
          </w:p>
        </w:tc>
        <w:tc>
          <w:tcPr>
            <w:tcW w:w="7670" w:type="dxa"/>
            <w:tcBorders/>
            <w:vAlign w:val="center"/>
          </w:tcPr>
          <w:p>
            <w:pPr>
              <w:pStyle w:val="TableContents"/>
              <w:bidi w:val="0"/>
              <w:spacing w:before="0" w:after="283"/>
              <w:jc w:val="both"/>
              <w:rPr/>
            </w:pPr>
            <w:r>
              <w:rPr>
                <w:b/>
              </w:rPr>
              <w:t>Basis of presentation and summary of significant accounting policies:</w:t>
            </w:r>
            <w:r>
              <w:rPr/>
              <w:t xml:space="preserve"> (cont.)</w:t>
            </w:r>
          </w:p>
        </w:tc>
      </w:tr>
    </w:tbl>
    <w:p>
      <w:pPr>
        <w:pStyle w:val="TextBody"/>
        <w:bidi w:val="0"/>
        <w:spacing w:before="0" w:after="0"/>
        <w:jc w:val="both"/>
        <w:rPr>
          <w:caps w:val="false"/>
          <w:smallCaps w:val="false"/>
        </w:rPr>
      </w:pPr>
      <w:r>
        <w:rPr>
          <w:caps w:val="false"/>
          <w:smallCaps w:val="false"/>
        </w:rPr>
        <w:t> </w:t>
      </w:r>
    </w:p>
    <w:tbl>
      <w:tblPr>
        <w:tblW w:w="2943" w:type="dxa"/>
        <w:jc w:val="left"/>
        <w:tblInd w:w="0" w:type="dxa"/>
        <w:tblLayout w:type="fixed"/>
        <w:tblCellMar>
          <w:top w:w="0" w:type="dxa"/>
          <w:left w:w="0" w:type="dxa"/>
          <w:bottom w:w="0" w:type="dxa"/>
          <w:right w:w="0" w:type="dxa"/>
        </w:tblCellMar>
      </w:tblPr>
      <w:tblGrid>
        <w:gridCol w:w="38"/>
        <w:gridCol w:w="290"/>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(o)</w:t>
            </w:r>
          </w:p>
        </w:tc>
        <w:tc>
          <w:tcPr>
            <w:tcW w:w="2615" w:type="dxa"/>
            <w:tcBorders/>
            <w:vAlign w:val="center"/>
          </w:tcPr>
          <w:p>
            <w:pPr>
              <w:pStyle w:val="TableContents"/>
              <w:bidi w:val="0"/>
              <w:spacing w:before="0" w:after="283"/>
              <w:jc w:val="both"/>
              <w:rPr/>
            </w:pPr>
            <w:r>
              <w:rPr/>
              <w:t>Stock-based compensation: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accounts for stock-based compensation in accordance with ASC 718, </w:t>
      </w:r>
      <w:r>
        <w:rPr>
          <w:rFonts w:ascii="Times New Roman;Times;Serif" w:hAnsi="Times New Roman;Times;Serif"/>
          <w:b w:val="false"/>
          <w:i/>
          <w:caps w:val="false"/>
          <w:smallCaps w:val="false"/>
          <w:sz w:val="20"/>
        </w:rPr>
        <w:t>Compensation — Stock Compensation</w:t>
      </w:r>
      <w:r>
        <w:rPr>
          <w:rFonts w:ascii="Times New Roman;Times;Serif" w:hAnsi="Times New Roman;Times;Serif"/>
          <w:b w:val="false"/>
          <w:i w:val="false"/>
          <w:caps w:val="false"/>
          <w:smallCaps w:val="false"/>
          <w:sz w:val="20"/>
        </w:rPr>
        <w:t>. Equity-settled stock-based payments to employees and others providing similar services are recognized as stock-based compensation expense based on the fair value of the equity instruments at the grant date. Stock-based compensation expense is recognized over the requisite service period on a straight-line basis, with a corresponding increase in additional paid-in capital within shareholders’ equity. Old Xanadu recognizes forfeitures as they occur.</w:t>
      </w:r>
    </w:p>
    <w:p>
      <w:pPr>
        <w:pStyle w:val="TextBody"/>
        <w:bidi w:val="0"/>
        <w:spacing w:before="0" w:after="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290"/>
        <w:gridCol w:w="212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(p)</w:t>
            </w:r>
          </w:p>
        </w:tc>
        <w:tc>
          <w:tcPr>
            <w:tcW w:w="2120" w:type="dxa"/>
            <w:tcBorders/>
            <w:vAlign w:val="center"/>
          </w:tcPr>
          <w:p>
            <w:pPr>
              <w:pStyle w:val="TableContents"/>
              <w:bidi w:val="0"/>
              <w:spacing w:before="0" w:after="283"/>
              <w:jc w:val="both"/>
              <w:rPr/>
            </w:pPr>
            <w:r>
              <w:rPr/>
              <w:t>Advertising expenses: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expensed as incurred and are included in sales and marketing expenses in the consolidated statements of operations and comprehensive loss. These costs totaled $490, $264, and $77 for the years ended December 31, 2025, 2024, and 2023, respectively.</w:t>
      </w:r>
    </w:p>
    <w:p>
      <w:pPr>
        <w:pStyle w:val="TextBody"/>
        <w:bidi w:val="0"/>
        <w:spacing w:before="0" w:after="0"/>
        <w:jc w:val="both"/>
        <w:rPr>
          <w:caps w:val="false"/>
          <w:smallCaps w:val="false"/>
        </w:rPr>
      </w:pPr>
      <w:r>
        <w:rPr>
          <w:caps w:val="false"/>
          <w:smallCaps w:val="false"/>
        </w:rPr>
        <w:t> </w:t>
      </w:r>
    </w:p>
    <w:tbl>
      <w:tblPr>
        <w:tblW w:w="1068" w:type="dxa"/>
        <w:jc w:val="left"/>
        <w:tblInd w:w="0" w:type="dxa"/>
        <w:tblLayout w:type="fixed"/>
        <w:tblCellMar>
          <w:top w:w="0" w:type="dxa"/>
          <w:left w:w="0" w:type="dxa"/>
          <w:bottom w:w="0" w:type="dxa"/>
          <w:right w:w="0" w:type="dxa"/>
        </w:tblCellMar>
      </w:tblPr>
      <w:tblGrid>
        <w:gridCol w:w="38"/>
        <w:gridCol w:w="290"/>
        <w:gridCol w:w="7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(q)</w:t>
            </w:r>
          </w:p>
        </w:tc>
        <w:tc>
          <w:tcPr>
            <w:tcW w:w="740" w:type="dxa"/>
            <w:tcBorders/>
            <w:vAlign w:val="center"/>
          </w:tcPr>
          <w:p>
            <w:pPr>
              <w:pStyle w:val="TableContents"/>
              <w:bidi w:val="0"/>
              <w:spacing w:before="0" w:after="283"/>
              <w:jc w:val="both"/>
              <w:rPr/>
            </w:pPr>
            <w:r>
              <w:rPr/>
              <w:t>Leases: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enters into operating leases for its office space tenancies. Operating leases are included in operating lease right-of-use (“ROU”) assets and operating lease liabilities on the consolidated balance sheets. As of December 31, 2025, and 2024, Old Xanadu had no finance lease contracts.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determines the initial classification and measurement of its ROU assets and lease liabilities at the lease commencement date. Operating lease ROU assets and operating lease liabilities are recognized on the consolidated balance sheets based on the present value of minimum lease payments over the lease term. Old Xanadu’s leases do not provide an implicit rate, and therefore, the incremental borrowing rate based on the information available on the commencement date is used to determine the present value of lease payments. The lease term includes options to extend or terminate the lease when it is reasonably certain that Old Xanadu will exercise that option. Lease expense is recognized on a straight-line basis over the lease term.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Xanadu’s lease agreements include lease and non-lease components, which are accounted for separately in the determination of lease costs. Variable lease and non-lease components are excluded from the lease payments used to measure the ROU assets and lease liabilities and are recognized in the consolidated statements of operations and comprehensive loss in the year in which the obligation for those payments is incurred.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accounts for a lease modification as a separate contract when the modification grants the lessee an additional right of use not included in the original lease and when lease payments increase commensurate with the standalone price for the additional right of use. When a lease modification results in a separate contract, it is accounted for in the same manner as a new lease.</w:t>
      </w:r>
    </w:p>
    <w:p>
      <w:pPr>
        <w:pStyle w:val="TextBody"/>
        <w:bidi w:val="0"/>
        <w:spacing w:before="0" w:after="0"/>
        <w:jc w:val="both"/>
        <w:rPr>
          <w:caps w:val="false"/>
          <w:smallCaps w:val="false"/>
        </w:rPr>
      </w:pPr>
      <w:r>
        <w:rPr>
          <w:caps w:val="false"/>
          <w:smallCaps w:val="false"/>
        </w:rPr>
        <w:t> </w:t>
      </w:r>
    </w:p>
    <w:tbl>
      <w:tblPr>
        <w:tblW w:w="5013" w:type="dxa"/>
        <w:jc w:val="left"/>
        <w:tblInd w:w="0" w:type="dxa"/>
        <w:tblLayout w:type="fixed"/>
        <w:tblCellMar>
          <w:top w:w="0" w:type="dxa"/>
          <w:left w:w="0" w:type="dxa"/>
          <w:bottom w:w="0" w:type="dxa"/>
          <w:right w:w="0" w:type="dxa"/>
        </w:tblCellMar>
      </w:tblPr>
      <w:tblGrid>
        <w:gridCol w:w="38"/>
        <w:gridCol w:w="245"/>
        <w:gridCol w:w="47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(r)</w:t>
            </w:r>
          </w:p>
        </w:tc>
        <w:tc>
          <w:tcPr>
            <w:tcW w:w="4730" w:type="dxa"/>
            <w:tcBorders/>
            <w:vAlign w:val="center"/>
          </w:tcPr>
          <w:p>
            <w:pPr>
              <w:pStyle w:val="TableContents"/>
              <w:bidi w:val="0"/>
              <w:spacing w:before="0" w:after="283"/>
              <w:jc w:val="both"/>
              <w:rPr/>
            </w:pPr>
            <w:r>
              <w:rPr/>
              <w:t>Investment tax credits and government assistance: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Refundable investment tax credits (“ITCs”) pursuant to the Scientific Research and Experimental Development (“SR&amp;ED”) program and other government assistance including grants and wage subsidies related to current expenditures are recorded as other operating income (expense), net within the consolidated statements of operations and comprehensive loss. Non-refundable investment tax credits are recorded as a reduction in income tax expense. Old Xanadu accounts for investment tax credits and government grants and subsidies by analogy to International Accounting Standard 20, </w:t>
      </w:r>
      <w:r>
        <w:rPr>
          <w:rFonts w:ascii="Times New Roman;Times;Serif" w:hAnsi="Times New Roman;Times;Serif"/>
          <w:b w:val="false"/>
          <w:i/>
          <w:caps w:val="false"/>
          <w:smallCaps w:val="false"/>
          <w:sz w:val="20"/>
        </w:rPr>
        <w:t>Accounting for Government Grants and Disclosures of Government Assistance</w:t>
      </w:r>
      <w:r>
        <w:rPr>
          <w:rFonts w:ascii="Times New Roman;Times;Serif" w:hAnsi="Times New Roman;Times;Serif"/>
          <w:b w:val="false"/>
          <w:i w:val="false"/>
          <w:caps w:val="false"/>
          <w:smallCaps w:val="false"/>
          <w:sz w:val="20"/>
        </w:rPr>
        <w:t>. The investment tax credits, and government grants and subsidies are recognized in income in the period when the related expenditure is recognized as an expense provided there is reasonable assurance that Old Xanadu has complied with, and will continue to comply with, all conditions necessary to obtain the government assistance or credit. Government grants and assistance related to capitalized expenditures are recognized as a reduction to the carrying amount of the related asset.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F-53</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i w:val="false"/>
          <w:caps w:val="false"/>
          <w:smallCaps w:val="false"/>
          <w:sz w:val="20"/>
        </w:rPr>
        <w:br/>
        <w:t>Notes to the Consolidated Statements</w:t>
        <w:br/>
        <w:t>(In thousands, except for share and per share amounts) </w:t>
      </w:r>
    </w:p>
    <w:p>
      <w:pPr>
        <w:pStyle w:val="TextBody"/>
        <w:bidi w:val="0"/>
        <w:spacing w:before="0" w:after="0"/>
        <w:jc w:val="both"/>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215"/>
        <w:gridCol w:w="7670"/>
      </w:tblGrid>
      <w:tr>
        <w:trPr/>
        <w:tc>
          <w:tcPr>
            <w:tcW w:w="215" w:type="dxa"/>
            <w:tcBorders/>
            <w:vAlign w:val="center"/>
          </w:tcPr>
          <w:p>
            <w:pPr>
              <w:pStyle w:val="TableContents"/>
              <w:bidi w:val="0"/>
              <w:spacing w:before="0" w:after="283"/>
              <w:jc w:val="left"/>
              <w:rPr>
                <w:b/>
              </w:rPr>
            </w:pPr>
            <w:r>
              <w:rPr>
                <w:b/>
              </w:rPr>
              <w:t>2.</w:t>
            </w:r>
          </w:p>
        </w:tc>
        <w:tc>
          <w:tcPr>
            <w:tcW w:w="7670" w:type="dxa"/>
            <w:tcBorders/>
            <w:vAlign w:val="center"/>
          </w:tcPr>
          <w:p>
            <w:pPr>
              <w:pStyle w:val="TableContents"/>
              <w:bidi w:val="0"/>
              <w:spacing w:before="0" w:after="283"/>
              <w:jc w:val="both"/>
              <w:rPr/>
            </w:pPr>
            <w:r>
              <w:rPr>
                <w:b/>
              </w:rPr>
              <w:t>Basis of presentation and summary of significant accounting policies:</w:t>
            </w:r>
            <w:r>
              <w:rPr/>
              <w:t xml:space="preserve"> (cont.)</w:t>
            </w:r>
          </w:p>
        </w:tc>
      </w:tr>
    </w:tbl>
    <w:p>
      <w:pPr>
        <w:pStyle w:val="TextBody"/>
        <w:bidi w:val="0"/>
        <w:spacing w:before="0" w:after="0"/>
        <w:jc w:val="both"/>
        <w:rPr>
          <w:caps w:val="false"/>
          <w:smallCaps w:val="false"/>
        </w:rPr>
      </w:pPr>
      <w:r>
        <w:rPr>
          <w:caps w:val="false"/>
          <w:smallCaps w:val="false"/>
        </w:rPr>
        <w:t> </w:t>
      </w:r>
    </w:p>
    <w:tbl>
      <w:tblPr>
        <w:tblW w:w="3063" w:type="dxa"/>
        <w:jc w:val="left"/>
        <w:tblInd w:w="0" w:type="dxa"/>
        <w:tblLayout w:type="fixed"/>
        <w:tblCellMar>
          <w:top w:w="0" w:type="dxa"/>
          <w:left w:w="0" w:type="dxa"/>
          <w:bottom w:w="0" w:type="dxa"/>
          <w:right w:w="0" w:type="dxa"/>
        </w:tblCellMar>
      </w:tblPr>
      <w:tblGrid>
        <w:gridCol w:w="38"/>
        <w:gridCol w:w="26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(s)</w:t>
            </w:r>
          </w:p>
        </w:tc>
        <w:tc>
          <w:tcPr>
            <w:tcW w:w="2765" w:type="dxa"/>
            <w:tcBorders/>
            <w:vAlign w:val="center"/>
          </w:tcPr>
          <w:p>
            <w:pPr>
              <w:pStyle w:val="TableContents"/>
              <w:bidi w:val="0"/>
              <w:spacing w:before="0" w:after="283"/>
              <w:jc w:val="both"/>
              <w:rPr/>
            </w:pPr>
            <w:r>
              <w:rPr/>
              <w:t>Convertible preferred shares: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Old Xanadu applies the provisions of ASC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in determining the classification of convertible preferred shares as permanent equity, temporary equity, or liabilities. Factors considered include conversion features, embedded features, redemption features, and the nature of the host instrument. Convertible preferred shares classified as equity are recognized at the issuance price net of issuance costs.</w:t>
      </w:r>
    </w:p>
    <w:p>
      <w:pPr>
        <w:pStyle w:val="TextBody"/>
        <w:bidi w:val="0"/>
        <w:spacing w:before="0" w:after="0"/>
        <w:jc w:val="both"/>
        <w:rPr>
          <w:caps w:val="false"/>
          <w:smallCaps w:val="false"/>
        </w:rPr>
      </w:pPr>
      <w:r>
        <w:rPr>
          <w:caps w:val="false"/>
          <w:smallCaps w:val="false"/>
        </w:rPr>
        <w:t> </w:t>
      </w:r>
    </w:p>
    <w:tbl>
      <w:tblPr>
        <w:tblW w:w="1608" w:type="dxa"/>
        <w:jc w:val="left"/>
        <w:tblInd w:w="0" w:type="dxa"/>
        <w:tblLayout w:type="fixed"/>
        <w:tblCellMar>
          <w:top w:w="0" w:type="dxa"/>
          <w:left w:w="0" w:type="dxa"/>
          <w:bottom w:w="0" w:type="dxa"/>
          <w:right w:w="0" w:type="dxa"/>
        </w:tblCellMar>
      </w:tblPr>
      <w:tblGrid>
        <w:gridCol w:w="38"/>
        <w:gridCol w:w="230"/>
        <w:gridCol w:w="13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(t)</w:t>
            </w:r>
          </w:p>
        </w:tc>
        <w:tc>
          <w:tcPr>
            <w:tcW w:w="1340" w:type="dxa"/>
            <w:tcBorders/>
            <w:vAlign w:val="center"/>
          </w:tcPr>
          <w:p>
            <w:pPr>
              <w:pStyle w:val="TableContents"/>
              <w:bidi w:val="0"/>
              <w:spacing w:before="0" w:after="283"/>
              <w:jc w:val="both"/>
              <w:rPr/>
            </w:pPr>
            <w:r>
              <w:rPr/>
              <w:t>Income taxes: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accounts for income taxes under the asset and liability method, which requires the recognition of deferred tax assets and liabilities for the estimated future tax consequences of events that have been included in the consolidated financial statements or in Old Xanadu’s tax returns. Under this method, deferred tax assets and liabilities are recognized for temporary differences between the carrying amounts in the consolidated financial statements and the tax basis of assets and liabilities. In addition, deferred tax assets and liabilities are recorded for non-capital loss carryforwards and tax credit carryforwards. Deferred tax assets and liabilities are measured using the currently enacted tax rates that apply to taxable income in effect for the years in which they are expected to be realized or settled. Deferred tax assets are evaluated for future realization and reduced by a valuation allowance to the amount that is more likely than not to be realized. Factors considered when assessing the likelihood of future realization of deferred tax assets include Old Xanadu’s recent cumulative loss experience and expectations of future earnings, capital gains and investments in the applicable jurisdiction, carryforward periods available for tax reporting purposes, among others.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evaluates tax positions taken or expected to be taken in the course of preparing tax returns and applies a two-step approach in recognizing and measuring uncertain tax positions. The first step is to evaluate the tax position for recognition by determining if the available evidence indicates that it is more likely than not that the position will be sustained upon examination by the applicable tax authority. The second step, for those tax positions that meet the recognition criteria, is to measure the tax benefit as the largest amount which is more than 50% likely of being realized upon ultimate settlement.</w:t>
      </w:r>
    </w:p>
    <w:p>
      <w:pPr>
        <w:pStyle w:val="TextBody"/>
        <w:bidi w:val="0"/>
        <w:spacing w:before="0" w:after="0"/>
        <w:jc w:val="both"/>
        <w:rPr>
          <w:caps w:val="false"/>
          <w:smallCaps w:val="false"/>
        </w:rPr>
      </w:pPr>
      <w:r>
        <w:rPr>
          <w:caps w:val="false"/>
          <w:smallCaps w:val="false"/>
        </w:rPr>
        <w:t> </w:t>
      </w:r>
    </w:p>
    <w:tbl>
      <w:tblPr>
        <w:tblW w:w="2103" w:type="dxa"/>
        <w:jc w:val="left"/>
        <w:tblInd w:w="0" w:type="dxa"/>
        <w:tblLayout w:type="fixed"/>
        <w:tblCellMar>
          <w:top w:w="0" w:type="dxa"/>
          <w:left w:w="0" w:type="dxa"/>
          <w:bottom w:w="0" w:type="dxa"/>
          <w:right w:w="0" w:type="dxa"/>
        </w:tblCellMar>
      </w:tblPr>
      <w:tblGrid>
        <w:gridCol w:w="38"/>
        <w:gridCol w:w="290"/>
        <w:gridCol w:w="17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(u)</w:t>
            </w:r>
          </w:p>
        </w:tc>
        <w:tc>
          <w:tcPr>
            <w:tcW w:w="1775" w:type="dxa"/>
            <w:tcBorders/>
            <w:vAlign w:val="center"/>
          </w:tcPr>
          <w:p>
            <w:pPr>
              <w:pStyle w:val="TableContents"/>
              <w:bidi w:val="0"/>
              <w:spacing w:before="0" w:after="283"/>
              <w:jc w:val="both"/>
              <w:rPr/>
            </w:pPr>
            <w:r>
              <w:rPr/>
              <w:t>Net loss per share: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is computed by dividing the net loss available to common shareholders by the weighted average number of shares of common shares outstanding during each period. Old Xanadu’s potentially dilutive securities include outstanding stock options and convertible preferred shares. Diluted net loss per share gives effect to all potentially dilutive securities, assuming that such shares were outstanding and dilutive during each period, except when the inclusion of the potentially dilutive securities would have an anti-dilutive effect.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applies the two-class method when computing net loss per share, as Old Xanadu has issued shares that meet the definition of participating securities. The two-class method allocates earnings between common shareholders and holders of participating securities. Old Xanadu’s convertible preferred shares are deemed to be participating securities due to their rights to participate in dividends with common shares. In periods where there is a net loss, no allocation of undistributed net loss to the convertible preferred shares is performed as the holders of the convertible preferred shares are not contractually obligated to absorb Old Xanadu’s losses. Old Xanadu recognizes interest and penalties related to uncertain tax provisions as a component of income tax expense.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F-54</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the Consolidated Statements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jc w:val="both"/>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215"/>
        <w:gridCol w:w="7670"/>
      </w:tblGrid>
      <w:tr>
        <w:trPr/>
        <w:tc>
          <w:tcPr>
            <w:tcW w:w="215" w:type="dxa"/>
            <w:tcBorders/>
            <w:vAlign w:val="center"/>
          </w:tcPr>
          <w:p>
            <w:pPr>
              <w:pStyle w:val="TableContents"/>
              <w:bidi w:val="0"/>
              <w:spacing w:before="0" w:after="283"/>
              <w:jc w:val="left"/>
              <w:rPr>
                <w:b/>
              </w:rPr>
            </w:pPr>
            <w:r>
              <w:rPr>
                <w:b/>
              </w:rPr>
              <w:t>2.</w:t>
            </w:r>
          </w:p>
        </w:tc>
        <w:tc>
          <w:tcPr>
            <w:tcW w:w="7670" w:type="dxa"/>
            <w:tcBorders/>
            <w:vAlign w:val="center"/>
          </w:tcPr>
          <w:p>
            <w:pPr>
              <w:pStyle w:val="TableContents"/>
              <w:bidi w:val="0"/>
              <w:spacing w:before="0" w:after="283"/>
              <w:jc w:val="both"/>
              <w:rPr/>
            </w:pPr>
            <w:r>
              <w:rPr>
                <w:b/>
              </w:rPr>
              <w:t>Basis of presentation and summary of significant accounting policies:</w:t>
            </w:r>
            <w:r>
              <w:rPr/>
              <w:t xml:space="preserve"> (cont.)</w:t>
            </w:r>
          </w:p>
        </w:tc>
      </w:tr>
    </w:tbl>
    <w:p>
      <w:pPr>
        <w:pStyle w:val="TextBody"/>
        <w:bidi w:val="0"/>
        <w:spacing w:before="0" w:after="0"/>
        <w:jc w:val="both"/>
        <w:rPr>
          <w:caps w:val="false"/>
          <w:smallCaps w:val="false"/>
        </w:rPr>
      </w:pPr>
      <w:r>
        <w:rPr>
          <w:caps w:val="false"/>
          <w:smallCaps w:val="false"/>
        </w:rPr>
        <w:t> </w:t>
      </w:r>
    </w:p>
    <w:tbl>
      <w:tblPr>
        <w:tblW w:w="2673" w:type="dxa"/>
        <w:jc w:val="left"/>
        <w:tblInd w:w="0" w:type="dxa"/>
        <w:tblLayout w:type="fixed"/>
        <w:tblCellMar>
          <w:top w:w="0" w:type="dxa"/>
          <w:left w:w="0" w:type="dxa"/>
          <w:bottom w:w="0" w:type="dxa"/>
          <w:right w:w="0" w:type="dxa"/>
        </w:tblCellMar>
      </w:tblPr>
      <w:tblGrid>
        <w:gridCol w:w="38"/>
        <w:gridCol w:w="290"/>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(v)</w:t>
            </w:r>
          </w:p>
        </w:tc>
        <w:tc>
          <w:tcPr>
            <w:tcW w:w="2345" w:type="dxa"/>
            <w:tcBorders/>
            <w:vAlign w:val="center"/>
          </w:tcPr>
          <w:p>
            <w:pPr>
              <w:pStyle w:val="TableContents"/>
              <w:bidi w:val="0"/>
              <w:spacing w:before="0" w:after="283"/>
              <w:jc w:val="both"/>
              <w:rPr/>
            </w:pPr>
            <w:r>
              <w:rPr/>
              <w:t>Fair value measurement: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an exit price, representing the amount that would be received to sell an asset or paid to transfer a liability in an orderly transaction between market participants. In determining fair value, the use of various valuation methodologies, including market, income and cost approaches is permissible. The inputs to these methodologies consider market comparable information, taking into account the principal or most advantageous market in which Old Xanadu would transact. The fair value hierarchy prioritizes which inputs should be used in measuring fair value and requires the use of observable market data when available. There are three levels of inputs that may be used to measure fair value based on the reliability of inputs, and a financial instrument’s categorization within the fair value hierarchy is based upon the lowest level of input that is significant to the fair value measurement: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1: Quoted market prices in active markets that the reporting entity has the ability to access at the date of the fair value measurement.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2: Inputs other than quoted market prices described in Level 1 that are observable for the asset or liability,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3: Unobservable inputs that are supported by little or no market activity and that are significant to the fair value measurement of the assets or liabilities.</w:t>
            </w:r>
          </w:p>
        </w:tc>
      </w:tr>
    </w:tbl>
    <w:p>
      <w:pPr>
        <w:pStyle w:val="TextBody"/>
        <w:bidi w:val="0"/>
        <w:spacing w:before="0" w:after="0"/>
        <w:jc w:val="both"/>
        <w:rPr>
          <w:caps w:val="false"/>
          <w:smallCaps w:val="false"/>
        </w:rPr>
      </w:pPr>
      <w:r>
        <w:rPr>
          <w:caps w:val="false"/>
          <w:smallCaps w:val="false"/>
        </w:rPr>
        <w:t> </w:t>
      </w:r>
    </w:p>
    <w:tbl>
      <w:tblPr>
        <w:tblW w:w="3063" w:type="dxa"/>
        <w:jc w:val="left"/>
        <w:tblInd w:w="0" w:type="dxa"/>
        <w:tblLayout w:type="fixed"/>
        <w:tblCellMar>
          <w:top w:w="0" w:type="dxa"/>
          <w:left w:w="0" w:type="dxa"/>
          <w:bottom w:w="0" w:type="dxa"/>
          <w:right w:w="0" w:type="dxa"/>
        </w:tblCellMar>
      </w:tblPr>
      <w:tblGrid>
        <w:gridCol w:w="38"/>
        <w:gridCol w:w="35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(w)</w:t>
            </w:r>
          </w:p>
        </w:tc>
        <w:tc>
          <w:tcPr>
            <w:tcW w:w="2675" w:type="dxa"/>
            <w:tcBorders/>
            <w:vAlign w:val="center"/>
          </w:tcPr>
          <w:p>
            <w:pPr>
              <w:pStyle w:val="TableContents"/>
              <w:bidi w:val="0"/>
              <w:spacing w:before="0" w:after="283"/>
              <w:jc w:val="both"/>
              <w:rPr/>
            </w:pPr>
            <w:r>
              <w:rPr/>
              <w:t>Concentration of credit risk:</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Old Xanadu to concentration of credit risk principally consist of cash and cash equivalents and accounts receivable. Old Xanadu’s policy is to place its cash and cash equivalents with high quality financial institutions to limit the amount of credit exposure. For Old Xanadu’s accounts receivable and grants receivable, credit risk is dependent upon the financial stability of individual customers or government entity. Old Xanadu performs ongoing evaluations of its customers’ and grantor’s financial condition and does not have a history of material credit losses. Refer to note 18 for additional information around Old Xanadu’s significant customers. Other receivables represent an insignificant part of Old Xanadu’s financial position.</w:t>
      </w:r>
    </w:p>
    <w:p>
      <w:pPr>
        <w:pStyle w:val="TextBody"/>
        <w:bidi w:val="0"/>
        <w:spacing w:before="0" w:after="0"/>
        <w:jc w:val="both"/>
        <w:rPr>
          <w:caps w:val="false"/>
          <w:smallCaps w:val="false"/>
        </w:rPr>
      </w:pPr>
      <w:r>
        <w:rPr>
          <w:caps w:val="false"/>
          <w:smallCaps w:val="false"/>
        </w:rPr>
        <w:t> </w:t>
      </w:r>
    </w:p>
    <w:tbl>
      <w:tblPr>
        <w:tblW w:w="4233" w:type="dxa"/>
        <w:jc w:val="left"/>
        <w:tblInd w:w="0" w:type="dxa"/>
        <w:tblLayout w:type="fixed"/>
        <w:tblCellMar>
          <w:top w:w="0" w:type="dxa"/>
          <w:left w:w="0" w:type="dxa"/>
          <w:bottom w:w="0" w:type="dxa"/>
          <w:right w:w="0" w:type="dxa"/>
        </w:tblCellMar>
      </w:tblPr>
      <w:tblGrid>
        <w:gridCol w:w="38"/>
        <w:gridCol w:w="290"/>
        <w:gridCol w:w="390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(x)</w:t>
            </w:r>
          </w:p>
        </w:tc>
        <w:tc>
          <w:tcPr>
            <w:tcW w:w="3905" w:type="dxa"/>
            <w:tcBorders/>
            <w:vAlign w:val="center"/>
          </w:tcPr>
          <w:p>
            <w:pPr>
              <w:pStyle w:val="TableContents"/>
              <w:bidi w:val="0"/>
              <w:spacing w:before="0" w:after="283"/>
              <w:jc w:val="both"/>
              <w:rPr/>
            </w:pPr>
            <w:r>
              <w:rPr/>
              <w:t>Adoption of accounting pronouncements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Old Xanadu elected to voluntarily discontinue the use of certain private company accounting alternatives previously permitted by the Private Company Council (“PCC”) and transitioned to the reporting and disclosure requirements applicable to Public Business Entities (“PBEs”) as defined in the FASB ASC Master Glossary. Old Xanadu believes this transition provides greater transparency and enhances the comparability of its financial position and results of operations for its stakeholders.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change in accounting principle has been applied retrospectively to all periods presented. The transition to PBE standards primarily impacted Old Xanadu’s disclosures related to fair value measurements and income taxes (note 8). This change did not result in a material adjustment to Old Xanadu’s consolidated balance sheets, statements of operations and comprehensive loss, or cash flows for any period presented.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F-55</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i w:val="false"/>
          <w:caps w:val="false"/>
          <w:smallCaps w:val="false"/>
          <w:sz w:val="20"/>
        </w:rPr>
        <w:br/>
        <w:t>Notes to the Consolidated Statements</w:t>
        <w:br/>
        <w:t>(In thousands, except for share and per share amounts)</w:t>
      </w:r>
    </w:p>
    <w:p>
      <w:pPr>
        <w:pStyle w:val="TextBody"/>
        <w:bidi w:val="0"/>
        <w:spacing w:before="0" w:after="0"/>
        <w:jc w:val="both"/>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215"/>
        <w:gridCol w:w="7670"/>
      </w:tblGrid>
      <w:tr>
        <w:trPr/>
        <w:tc>
          <w:tcPr>
            <w:tcW w:w="215" w:type="dxa"/>
            <w:tcBorders/>
            <w:vAlign w:val="center"/>
          </w:tcPr>
          <w:p>
            <w:pPr>
              <w:pStyle w:val="TableContents"/>
              <w:bidi w:val="0"/>
              <w:spacing w:before="0" w:after="283"/>
              <w:jc w:val="left"/>
              <w:rPr>
                <w:b/>
              </w:rPr>
            </w:pPr>
            <w:r>
              <w:rPr>
                <w:b/>
              </w:rPr>
              <w:t>2.</w:t>
            </w:r>
          </w:p>
        </w:tc>
        <w:tc>
          <w:tcPr>
            <w:tcW w:w="7670" w:type="dxa"/>
            <w:tcBorders/>
            <w:vAlign w:val="center"/>
          </w:tcPr>
          <w:p>
            <w:pPr>
              <w:pStyle w:val="TableContents"/>
              <w:bidi w:val="0"/>
              <w:spacing w:before="0" w:after="283"/>
              <w:jc w:val="both"/>
              <w:rPr/>
            </w:pPr>
            <w:r>
              <w:rPr>
                <w:b/>
              </w:rPr>
              <w:t>Basis of presentation and summary of significant accounting policies:</w:t>
            </w:r>
            <w:r>
              <w:rPr/>
              <w:t xml:space="preserve"> (cont.)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Effective January 1, 2025, Old Xanadu adopted ASU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This standard requires enhanced disaggregation within the effective tax rate reconciliation and additional information regarding income taxes paid. Old Xanadu adopted this guidance on a retrospective basis; accordingly, prior period disclosures have been recast to conform to the new requirements.</w:t>
      </w:r>
    </w:p>
    <w:p>
      <w:pPr>
        <w:pStyle w:val="TextBody"/>
        <w:bidi w:val="0"/>
        <w:spacing w:before="0" w:after="0"/>
        <w:jc w:val="both"/>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38"/>
        <w:gridCol w:w="290"/>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(y)</w:t>
            </w:r>
          </w:p>
        </w:tc>
        <w:tc>
          <w:tcPr>
            <w:tcW w:w="6170" w:type="dxa"/>
            <w:tcBorders/>
            <w:vAlign w:val="center"/>
          </w:tcPr>
          <w:p>
            <w:pPr>
              <w:pStyle w:val="TableContents"/>
              <w:bidi w:val="0"/>
              <w:spacing w:before="0" w:after="283"/>
              <w:jc w:val="both"/>
              <w:rPr/>
            </w:pPr>
            <w:r>
              <w:rPr/>
              <w:t>Recently issued but not yet adopted accounting pronouncements: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Accounting Standard Update No. 2024-03, “Income Statement — Reporting Comprehensive Income — Expense Disaggregation Disclosures” (“ASU 2024-03”). The standard requires additional expense disclosures by public business entities in the notes to the financial statements. The guidance is effective for annual periods beginning after December 15, 2026, and interim periods within fiscal years beginning after December 15, 2027, with early adoption permitted. Old Xanadu will adopt this guidance in the year-ended December 31, 2027 and is in the process of evaluating the impact of this standard on its consolidated financial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2025, the FASB issued ASU 2025-10, </w:t>
      </w:r>
      <w:r>
        <w:rPr>
          <w:rFonts w:ascii="Times New Roman;Times;Serif" w:hAnsi="Times New Roman;Times;Serif"/>
          <w:b w:val="false"/>
          <w:i/>
          <w:caps w:val="false"/>
          <w:smallCaps w:val="false"/>
          <w:sz w:val="20"/>
        </w:rPr>
        <w:t>Government Grants (Topic 832): Accounting for Government Grants Received by Business Entities</w:t>
      </w:r>
      <w:r>
        <w:rPr>
          <w:rFonts w:ascii="Times New Roman;Times;Serif" w:hAnsi="Times New Roman;Times;Serif"/>
          <w:b w:val="false"/>
          <w:i w:val="false"/>
          <w:caps w:val="false"/>
          <w:smallCaps w:val="false"/>
          <w:sz w:val="20"/>
        </w:rPr>
        <w:t>, which provides an authoritative framework for the recognition, measurement, and presentation of government grants. This guidance is effective for Old Xanadu for fiscal years beginning after December 15, 2028, and interim periods within those years, with early adoption permitted. Old Xanadu is currently evaluating the impact of this guidance on its consolidated financial statements but does not expect the adoption to have a material impact on its financial position, results of operations, or cash flows.</w:t>
      </w:r>
    </w:p>
    <w:p>
      <w:pPr>
        <w:pStyle w:val="TextBody"/>
        <w:bidi w:val="0"/>
        <w:spacing w:before="0" w:after="0"/>
        <w:jc w:val="left"/>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215"/>
        <w:gridCol w:w="2570"/>
      </w:tblGrid>
      <w:tr>
        <w:trPr/>
        <w:tc>
          <w:tcPr>
            <w:tcW w:w="215" w:type="dxa"/>
            <w:tcBorders/>
            <w:vAlign w:val="center"/>
          </w:tcPr>
          <w:p>
            <w:pPr>
              <w:pStyle w:val="TableContents"/>
              <w:bidi w:val="0"/>
              <w:spacing w:before="0" w:after="283"/>
              <w:jc w:val="left"/>
              <w:rPr>
                <w:b/>
              </w:rPr>
            </w:pPr>
            <w:r>
              <w:rPr>
                <w:b/>
              </w:rPr>
              <w:t>3.</w:t>
            </w:r>
          </w:p>
        </w:tc>
        <w:tc>
          <w:tcPr>
            <w:tcW w:w="2570" w:type="dxa"/>
            <w:tcBorders/>
            <w:vAlign w:val="center"/>
          </w:tcPr>
          <w:p>
            <w:pPr>
              <w:pStyle w:val="TableContents"/>
              <w:bidi w:val="0"/>
              <w:spacing w:before="0" w:after="283"/>
              <w:jc w:val="both"/>
              <w:rPr>
                <w:b/>
              </w:rPr>
            </w:pPr>
            <w:r>
              <w:rPr>
                <w:b/>
              </w:rPr>
              <w:t>Accounts receivable, net: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Xanadu’s accounts receivable include trade, interest and other receivables as of December 31, 2025 and 2024:</w:t>
      </w:r>
    </w:p>
    <w:p>
      <w:pPr>
        <w:pStyle w:val="TextBody"/>
        <w:bidi w:val="0"/>
        <w:spacing w:before="0" w:after="0"/>
        <w:jc w:val="both"/>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3230"/>
        <w:gridCol w:w="60"/>
        <w:gridCol w:w="140"/>
        <w:gridCol w:w="560"/>
        <w:gridCol w:w="60"/>
        <w:gridCol w:w="60"/>
        <w:gridCol w:w="140"/>
        <w:gridCol w:w="560"/>
        <w:gridCol w:w="75"/>
      </w:tblGrid>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607</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437</w:t>
            </w:r>
          </w:p>
        </w:tc>
        <w:tc>
          <w:tcPr>
            <w:tcW w:w="7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Grant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5,011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Contract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1,499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207</w:t>
            </w:r>
          </w:p>
        </w:tc>
        <w:tc>
          <w:tcPr>
            <w:tcW w:w="7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Sales tax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Related party receivable (note 21)</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1,818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9,477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1,259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both December 31, 2025 and 2024, Old Xanadu’s allowance for doubtful accounts was $nil.</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F-56</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Xanadu Quantum Technologies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jc w:val="both"/>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215"/>
        <w:gridCol w:w="4370"/>
      </w:tblGrid>
      <w:tr>
        <w:trPr/>
        <w:tc>
          <w:tcPr>
            <w:tcW w:w="215" w:type="dxa"/>
            <w:tcBorders/>
            <w:vAlign w:val="center"/>
          </w:tcPr>
          <w:p>
            <w:pPr>
              <w:pStyle w:val="TableContents"/>
              <w:bidi w:val="0"/>
              <w:spacing w:before="0" w:after="283"/>
              <w:jc w:val="left"/>
              <w:rPr>
                <w:b/>
              </w:rPr>
            </w:pPr>
            <w:r>
              <w:rPr>
                <w:b/>
              </w:rPr>
              <w:t>4.</w:t>
            </w:r>
          </w:p>
        </w:tc>
        <w:tc>
          <w:tcPr>
            <w:tcW w:w="4370" w:type="dxa"/>
            <w:tcBorders/>
            <w:vAlign w:val="center"/>
          </w:tcPr>
          <w:p>
            <w:pPr>
              <w:pStyle w:val="TableContents"/>
              <w:bidi w:val="0"/>
              <w:spacing w:before="0" w:after="283"/>
              <w:jc w:val="both"/>
              <w:rPr>
                <w:b/>
              </w:rPr>
            </w:pPr>
            <w:r>
              <w:rPr>
                <w:b/>
              </w:rPr>
              <w:t>Prepaid expenses and other current assets: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are comprised of the following as of December 31, 2025 and 2024:</w:t>
      </w:r>
    </w:p>
    <w:p>
      <w:pPr>
        <w:pStyle w:val="TextBody"/>
        <w:bidi w:val="0"/>
        <w:spacing w:before="0" w:after="0"/>
        <w:ind w:left="360" w:right="0" w:hanging="0"/>
        <w:jc w:val="both"/>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3980"/>
        <w:gridCol w:w="60"/>
        <w:gridCol w:w="140"/>
        <w:gridCol w:w="560"/>
        <w:gridCol w:w="60"/>
        <w:gridCol w:w="60"/>
        <w:gridCol w:w="140"/>
        <w:gridCol w:w="560"/>
        <w:gridCol w:w="75"/>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Prepaid materials and supplies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5,839</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Prepaid professional services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881</w:t>
            </w:r>
          </w:p>
        </w:tc>
        <w:tc>
          <w:tcPr>
            <w:tcW w:w="7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Other prepaid expenses and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2,400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1,571</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6,229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8,291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215"/>
        <w:gridCol w:w="4745"/>
      </w:tblGrid>
      <w:tr>
        <w:trPr/>
        <w:tc>
          <w:tcPr>
            <w:tcW w:w="215" w:type="dxa"/>
            <w:tcBorders/>
            <w:vAlign w:val="center"/>
          </w:tcPr>
          <w:p>
            <w:pPr>
              <w:pStyle w:val="TableContents"/>
              <w:bidi w:val="0"/>
              <w:spacing w:before="0" w:after="283"/>
              <w:jc w:val="left"/>
              <w:rPr>
                <w:b/>
              </w:rPr>
            </w:pPr>
            <w:r>
              <w:rPr>
                <w:b/>
              </w:rPr>
              <w:t>5.</w:t>
            </w:r>
          </w:p>
        </w:tc>
        <w:tc>
          <w:tcPr>
            <w:tcW w:w="4745" w:type="dxa"/>
            <w:tcBorders/>
            <w:vAlign w:val="center"/>
          </w:tcPr>
          <w:p>
            <w:pPr>
              <w:pStyle w:val="TableContents"/>
              <w:bidi w:val="0"/>
              <w:spacing w:before="0" w:after="283"/>
              <w:jc w:val="both"/>
              <w:rPr>
                <w:b/>
              </w:rPr>
            </w:pPr>
            <w:r>
              <w:rPr>
                <w:b/>
              </w:rPr>
              <w:t>Accrued expenses and other current liabilities: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are comprised of the following as of December 31, 2025 and 2024:</w:t>
      </w:r>
    </w:p>
    <w:p>
      <w:pPr>
        <w:pStyle w:val="TextBody"/>
        <w:bidi w:val="0"/>
        <w:spacing w:before="0" w:after="0"/>
        <w:jc w:val="both"/>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4310"/>
        <w:gridCol w:w="60"/>
        <w:gridCol w:w="140"/>
        <w:gridCol w:w="560"/>
        <w:gridCol w:w="60"/>
        <w:gridCol w:w="60"/>
        <w:gridCol w:w="140"/>
        <w:gridCol w:w="560"/>
        <w:gridCol w:w="75"/>
      </w:tblGrid>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Accrued salaries and other payroll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90</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Accrued professional services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1,962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774</w:t>
            </w:r>
          </w:p>
        </w:tc>
        <w:tc>
          <w:tcPr>
            <w:tcW w:w="75"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Other accrued expenses and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193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1,305</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2,191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2,169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215"/>
        <w:gridCol w:w="3050"/>
      </w:tblGrid>
      <w:tr>
        <w:trPr/>
        <w:tc>
          <w:tcPr>
            <w:tcW w:w="215" w:type="dxa"/>
            <w:tcBorders/>
            <w:vAlign w:val="center"/>
          </w:tcPr>
          <w:p>
            <w:pPr>
              <w:pStyle w:val="TableContents"/>
              <w:bidi w:val="0"/>
              <w:spacing w:before="0" w:after="283"/>
              <w:jc w:val="left"/>
              <w:rPr>
                <w:b/>
              </w:rPr>
            </w:pPr>
            <w:r>
              <w:rPr>
                <w:b/>
              </w:rPr>
              <w:t>6.</w:t>
            </w:r>
          </w:p>
        </w:tc>
        <w:tc>
          <w:tcPr>
            <w:tcW w:w="3050" w:type="dxa"/>
            <w:tcBorders/>
            <w:vAlign w:val="center"/>
          </w:tcPr>
          <w:p>
            <w:pPr>
              <w:pStyle w:val="TableContents"/>
              <w:bidi w:val="0"/>
              <w:spacing w:before="0" w:after="283"/>
              <w:jc w:val="both"/>
              <w:rPr>
                <w:b/>
              </w:rPr>
            </w:pPr>
            <w:r>
              <w:rPr>
                <w:b/>
              </w:rPr>
              <w:t>Property and equipment, net: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consisted of the following:</w:t>
      </w:r>
    </w:p>
    <w:p>
      <w:pPr>
        <w:pStyle w:val="TextBody"/>
        <w:bidi w:val="0"/>
        <w:spacing w:before="0" w:after="0"/>
        <w:jc w:val="both"/>
        <w:rPr>
          <w:caps w:val="false"/>
          <w:smallCaps w:val="false"/>
        </w:rPr>
      </w:pPr>
      <w:r>
        <w:rPr>
          <w:caps w:val="false"/>
          <w:smallCaps w:val="false"/>
        </w:rPr>
        <w:t> </w:t>
      </w:r>
    </w:p>
    <w:tbl>
      <w:tblPr>
        <w:tblW w:w="5105" w:type="dxa"/>
        <w:jc w:val="left"/>
        <w:tblInd w:w="0" w:type="dxa"/>
        <w:tblLayout w:type="fixed"/>
        <w:tblCellMar>
          <w:top w:w="0" w:type="dxa"/>
          <w:left w:w="0" w:type="dxa"/>
          <w:bottom w:w="0" w:type="dxa"/>
          <w:right w:w="0" w:type="dxa"/>
        </w:tblCellMar>
      </w:tblPr>
      <w:tblGrid>
        <w:gridCol w:w="3065"/>
        <w:gridCol w:w="60"/>
        <w:gridCol w:w="140"/>
        <w:gridCol w:w="755"/>
        <w:gridCol w:w="95"/>
        <w:gridCol w:w="60"/>
        <w:gridCol w:w="140"/>
        <w:gridCol w:w="680"/>
        <w:gridCol w:w="110"/>
      </w:tblGrid>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ind w:left="0" w:right="0" w:hanging="200"/>
              <w:jc w:val="left"/>
              <w:rPr/>
            </w:pPr>
            <w:r>
              <w:rPr/>
              <w:t> </w:t>
            </w:r>
          </w:p>
        </w:tc>
      </w:tr>
      <w:tr>
        <w:trPr/>
        <w:tc>
          <w:tcPr>
            <w:tcW w:w="3065" w:type="dxa"/>
            <w:tcBorders/>
            <w:shd w:fill="CCEEFF" w:val="clear"/>
            <w:vAlign w:val="center"/>
          </w:tcPr>
          <w:p>
            <w:pPr>
              <w:pStyle w:val="TableContents"/>
              <w:bidi w:val="0"/>
              <w:spacing w:before="0" w:after="283"/>
              <w:jc w:val="left"/>
              <w:rPr/>
            </w:pPr>
            <w:r>
              <w:rPr/>
              <w:t>Computer systems and servers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1,083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823</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065" w:type="dxa"/>
            <w:tcBorders/>
            <w:shd w:fill="FFFFFF" w:val="clear"/>
            <w:vAlign w:val="center"/>
          </w:tcPr>
          <w:p>
            <w:pPr>
              <w:pStyle w:val="TableContents"/>
              <w:bidi w:val="0"/>
              <w:spacing w:before="0" w:after="283"/>
              <w:jc w:val="left"/>
              <w:rPr/>
            </w:pPr>
            <w:r>
              <w:rPr/>
              <w:t>Test and computer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16,988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11,558</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065" w:type="dxa"/>
            <w:tcBorders/>
            <w:shd w:fill="CCEEFF" w:val="clear"/>
            <w:vAlign w:val="center"/>
          </w:tcPr>
          <w:p>
            <w:pPr>
              <w:pStyle w:val="TableContents"/>
              <w:bidi w:val="0"/>
              <w:spacing w:before="0" w:after="283"/>
              <w:jc w:val="left"/>
              <w:rPr/>
            </w:pPr>
            <w:r>
              <w:rPr/>
              <w:t>Lab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9,604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8,605</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065" w:type="dxa"/>
            <w:tcBorders/>
            <w:shd w:fill="FFFFFF" w:val="clear"/>
            <w:vAlign w:val="center"/>
          </w:tcPr>
          <w:p>
            <w:pPr>
              <w:pStyle w:val="TableContents"/>
              <w:bidi w:val="0"/>
              <w:spacing w:before="0" w:after="283"/>
              <w:jc w:val="left"/>
              <w:rPr/>
            </w:pPr>
            <w:r>
              <w:rPr/>
              <w:t>Furniture and fixtures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273</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065"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3,637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2,870</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06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31,598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24,129</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065" w:type="dxa"/>
            <w:tcBorders/>
            <w:shd w:fill="CCEEFF" w:val="clear"/>
            <w:vAlign w:val="center"/>
          </w:tcPr>
          <w:p>
            <w:pPr>
              <w:pStyle w:val="TableContents"/>
              <w:bidi w:val="0"/>
              <w:spacing w:before="0" w:after="283"/>
              <w:jc w:val="left"/>
              <w:rPr/>
            </w:pPr>
            <w:r>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(13,285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(8,753</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3065" w:type="dxa"/>
            <w:tcBorders/>
            <w:shd w:fill="FFFFFF" w:val="clear"/>
            <w:vAlign w:val="center"/>
          </w:tcPr>
          <w:p>
            <w:pPr>
              <w:pStyle w:val="TableContents"/>
              <w:bidi w:val="0"/>
              <w:spacing w:before="0" w:after="283"/>
              <w:jc w:val="left"/>
              <w:rPr>
                <w:b/>
              </w:rPr>
            </w:pPr>
            <w:r>
              <w:rPr>
                <w:b/>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18,313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15,376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2024, and 2023 Old Xanadu recognized depreciation expense of $4,310, $3,695, and $2,813 respectively, related to property and equipment.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F-57</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the Consolidated Statements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jc w:val="both"/>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215"/>
        <w:gridCol w:w="2210"/>
      </w:tblGrid>
      <w:tr>
        <w:trPr/>
        <w:tc>
          <w:tcPr>
            <w:tcW w:w="215" w:type="dxa"/>
            <w:tcBorders/>
            <w:vAlign w:val="center"/>
          </w:tcPr>
          <w:p>
            <w:pPr>
              <w:pStyle w:val="TableContents"/>
              <w:bidi w:val="0"/>
              <w:spacing w:before="0" w:after="283"/>
              <w:jc w:val="left"/>
              <w:rPr>
                <w:b/>
              </w:rPr>
            </w:pPr>
            <w:r>
              <w:rPr>
                <w:b/>
              </w:rPr>
              <w:t>7.</w:t>
            </w:r>
          </w:p>
        </w:tc>
        <w:tc>
          <w:tcPr>
            <w:tcW w:w="2210" w:type="dxa"/>
            <w:tcBorders/>
            <w:vAlign w:val="center"/>
          </w:tcPr>
          <w:p>
            <w:pPr>
              <w:pStyle w:val="TableContents"/>
              <w:bidi w:val="0"/>
              <w:spacing w:before="0" w:after="283"/>
              <w:jc w:val="both"/>
              <w:rPr>
                <w:b/>
              </w:rPr>
            </w:pPr>
            <w:r>
              <w:rPr>
                <w:b/>
              </w:rPr>
              <w:t>Intangible assets, net: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 consisted of the following:</w:t>
      </w:r>
    </w:p>
    <w:p>
      <w:pPr>
        <w:pStyle w:val="TextBody"/>
        <w:bidi w:val="0"/>
        <w:spacing w:before="0" w:after="0"/>
        <w:jc w:val="both"/>
        <w:rPr>
          <w:caps w:val="false"/>
          <w:smallCaps w:val="false"/>
        </w:rPr>
      </w:pPr>
      <w:r>
        <w:rPr>
          <w:caps w:val="false"/>
          <w:smallCaps w:val="false"/>
        </w:rPr>
        <w:t> </w:t>
      </w:r>
    </w:p>
    <w:tbl>
      <w:tblPr>
        <w:tblW w:w="6453" w:type="dxa"/>
        <w:jc w:val="left"/>
        <w:tblInd w:w="0" w:type="dxa"/>
        <w:tblLayout w:type="fixed"/>
        <w:tblCellMar>
          <w:top w:w="0" w:type="dxa"/>
          <w:left w:w="0" w:type="dxa"/>
          <w:bottom w:w="0" w:type="dxa"/>
          <w:right w:w="0" w:type="dxa"/>
        </w:tblCellMar>
      </w:tblPr>
      <w:tblGrid>
        <w:gridCol w:w="2840"/>
        <w:gridCol w:w="60"/>
        <w:gridCol w:w="145"/>
        <w:gridCol w:w="580"/>
        <w:gridCol w:w="62"/>
        <w:gridCol w:w="62"/>
        <w:gridCol w:w="257"/>
        <w:gridCol w:w="1172"/>
        <w:gridCol w:w="98"/>
        <w:gridCol w:w="62"/>
        <w:gridCol w:w="208"/>
        <w:gridCol w:w="832"/>
        <w:gridCol w:w="75"/>
      </w:tblGrid>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78"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 December 31, 2025</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Cost</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Accumulated </w:t>
              <w:br/>
              <w:t>Amortization</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Net Book </w:t>
              <w:br/>
              <w:t>Value</w:t>
            </w:r>
          </w:p>
        </w:tc>
        <w:tc>
          <w:tcPr>
            <w:tcW w:w="7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pPr>
            <w:r>
              <w:rPr/>
              <w:t>Patents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2,226</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w:t>
            </w:r>
          </w:p>
        </w:tc>
        <w:tc>
          <w:tcPr>
            <w:tcW w:w="1172" w:type="dxa"/>
            <w:tcBorders/>
            <w:shd w:fill="CCEEFF" w:val="clear"/>
            <w:vAlign w:val="center"/>
          </w:tcPr>
          <w:p>
            <w:pPr>
              <w:pStyle w:val="TableContents"/>
              <w:bidi w:val="0"/>
              <w:spacing w:before="0" w:after="283"/>
              <w:jc w:val="right"/>
              <w:rPr/>
            </w:pPr>
            <w:r>
              <w:rPr/>
              <w:t>(1,383</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832" w:type="dxa"/>
            <w:tcBorders/>
            <w:shd w:fill="CCEEFF" w:val="clear"/>
            <w:vAlign w:val="center"/>
          </w:tcPr>
          <w:p>
            <w:pPr>
              <w:pStyle w:val="TableContents"/>
              <w:bidi w:val="0"/>
              <w:spacing w:before="0" w:after="283"/>
              <w:jc w:val="right"/>
              <w:rPr/>
            </w:pPr>
            <w:r>
              <w:rPr/>
              <w:t>843</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Internally developed software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pPr>
            <w:r>
              <w:rPr/>
              <w:t>7,586</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pPr>
            <w:r>
              <w:rPr/>
              <w:t>(3,352</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pPr>
            <w:r>
              <w:rPr/>
              <w:t>4,234</w:t>
            </w:r>
          </w:p>
        </w:tc>
        <w:tc>
          <w:tcPr>
            <w:tcW w:w="75"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pPr>
            <w:r>
              <w:rPr/>
              <w:t>External software licenses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80" w:type="dxa"/>
            <w:tcBorders>
              <w:bottom w:val="single" w:sz="12" w:space="0" w:color="000000"/>
            </w:tcBorders>
            <w:shd w:fill="CCEEFF" w:val="clear"/>
            <w:tcMar>
              <w:bottom w:w="28" w:type="dxa"/>
            </w:tcMar>
            <w:vAlign w:val="center"/>
          </w:tcPr>
          <w:p>
            <w:pPr>
              <w:pStyle w:val="TableContents"/>
              <w:bidi w:val="0"/>
              <w:spacing w:before="0" w:after="283"/>
              <w:jc w:val="right"/>
              <w:rPr/>
            </w:pPr>
            <w:r>
              <w:rPr/>
              <w:t>180</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2" w:type="dxa"/>
            <w:tcBorders>
              <w:bottom w:val="single" w:sz="12" w:space="0" w:color="000000"/>
            </w:tcBorders>
            <w:shd w:fill="CCEEFF" w:val="clear"/>
            <w:tcMar>
              <w:bottom w:w="28" w:type="dxa"/>
            </w:tcMar>
            <w:vAlign w:val="center"/>
          </w:tcPr>
          <w:p>
            <w:pPr>
              <w:pStyle w:val="TableContents"/>
              <w:bidi w:val="0"/>
              <w:spacing w:before="0" w:after="283"/>
              <w:jc w:val="right"/>
              <w:rPr/>
            </w:pPr>
            <w:r>
              <w:rPr/>
              <w:t>(129</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2" w:type="dxa"/>
            <w:tcBorders>
              <w:bottom w:val="single" w:sz="12" w:space="0" w:color="000000"/>
            </w:tcBorders>
            <w:shd w:fill="CCEEFF" w:val="clear"/>
            <w:tcMar>
              <w:bottom w:w="28" w:type="dxa"/>
            </w:tcMar>
            <w:vAlign w:val="center"/>
          </w:tcPr>
          <w:p>
            <w:pPr>
              <w:pStyle w:val="TableContents"/>
              <w:bidi w:val="0"/>
              <w:spacing w:before="0" w:after="283"/>
              <w:jc w:val="right"/>
              <w:rPr/>
            </w:pPr>
            <w:r>
              <w:rPr/>
              <w:t>51</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80" w:type="dxa"/>
            <w:tcBorders>
              <w:bottom w:val="double" w:sz="10" w:space="0" w:color="000000"/>
            </w:tcBorders>
            <w:shd w:fill="FFFFFF" w:val="clear"/>
            <w:tcMar>
              <w:bottom w:w="28" w:type="dxa"/>
            </w:tcMar>
            <w:vAlign w:val="center"/>
          </w:tcPr>
          <w:p>
            <w:pPr>
              <w:pStyle w:val="TableContents"/>
              <w:bidi w:val="0"/>
              <w:spacing w:before="0" w:after="283"/>
              <w:jc w:val="right"/>
              <w:rPr/>
            </w:pPr>
            <w:r>
              <w:rPr/>
              <w:t>9,992</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5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2" w:type="dxa"/>
            <w:tcBorders>
              <w:bottom w:val="double" w:sz="10" w:space="0" w:color="000000"/>
            </w:tcBorders>
            <w:shd w:fill="FFFFFF" w:val="clear"/>
            <w:tcMar>
              <w:bottom w:w="28" w:type="dxa"/>
            </w:tcMar>
            <w:vAlign w:val="center"/>
          </w:tcPr>
          <w:p>
            <w:pPr>
              <w:pStyle w:val="TableContents"/>
              <w:bidi w:val="0"/>
              <w:spacing w:before="0" w:after="283"/>
              <w:jc w:val="right"/>
              <w:rPr/>
            </w:pPr>
            <w:r>
              <w:rPr/>
              <w:t>(4,864</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20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32" w:type="dxa"/>
            <w:tcBorders>
              <w:bottom w:val="double" w:sz="10" w:space="0" w:color="000000"/>
            </w:tcBorders>
            <w:shd w:fill="FFFFFF" w:val="clear"/>
            <w:tcMar>
              <w:bottom w:w="28" w:type="dxa"/>
            </w:tcMar>
            <w:vAlign w:val="center"/>
          </w:tcPr>
          <w:p>
            <w:pPr>
              <w:pStyle w:val="TableContents"/>
              <w:bidi w:val="0"/>
              <w:spacing w:before="0" w:after="283"/>
              <w:jc w:val="right"/>
              <w:rPr/>
            </w:pPr>
            <w:r>
              <w:rPr/>
              <w:t>5,128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6453" w:type="dxa"/>
        <w:jc w:val="left"/>
        <w:tblInd w:w="0" w:type="dxa"/>
        <w:tblLayout w:type="fixed"/>
        <w:tblCellMar>
          <w:top w:w="0" w:type="dxa"/>
          <w:left w:w="0" w:type="dxa"/>
          <w:bottom w:w="0" w:type="dxa"/>
          <w:right w:w="0" w:type="dxa"/>
        </w:tblCellMar>
      </w:tblPr>
      <w:tblGrid>
        <w:gridCol w:w="2840"/>
        <w:gridCol w:w="60"/>
        <w:gridCol w:w="145"/>
        <w:gridCol w:w="580"/>
        <w:gridCol w:w="62"/>
        <w:gridCol w:w="62"/>
        <w:gridCol w:w="257"/>
        <w:gridCol w:w="1172"/>
        <w:gridCol w:w="98"/>
        <w:gridCol w:w="62"/>
        <w:gridCol w:w="208"/>
        <w:gridCol w:w="832"/>
        <w:gridCol w:w="75"/>
      </w:tblGrid>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78"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 December 31, 2024</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Cost</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Accumulated </w:t>
              <w:br/>
              <w:t>Amortization</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Net Book </w:t>
              <w:br/>
              <w:t>Value</w:t>
            </w:r>
          </w:p>
        </w:tc>
        <w:tc>
          <w:tcPr>
            <w:tcW w:w="75" w:type="dxa"/>
            <w:tcBorders/>
            <w:vAlign w:val="center"/>
          </w:tcPr>
          <w:p>
            <w:pPr>
              <w:pStyle w:val="TableContents"/>
              <w:bidi w:val="0"/>
              <w:spacing w:before="0" w:after="283"/>
              <w:ind w:left="0" w:right="0" w:hanging="200"/>
              <w:jc w:val="left"/>
              <w:rPr/>
            </w:pPr>
            <w:r>
              <w:rPr/>
              <w:t> </w:t>
            </w:r>
          </w:p>
        </w:tc>
      </w:tr>
      <w:tr>
        <w:trPr/>
        <w:tc>
          <w:tcPr>
            <w:tcW w:w="2840" w:type="dxa"/>
            <w:tcBorders/>
            <w:shd w:fill="CCEEFF" w:val="clear"/>
            <w:vAlign w:val="center"/>
          </w:tcPr>
          <w:p>
            <w:pPr>
              <w:pStyle w:val="TableContents"/>
              <w:bidi w:val="0"/>
              <w:spacing w:before="0" w:after="283"/>
              <w:jc w:val="left"/>
              <w:rPr/>
            </w:pPr>
            <w:r>
              <w:rPr/>
              <w:t>Patents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1,531</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w:t>
            </w:r>
          </w:p>
        </w:tc>
        <w:tc>
          <w:tcPr>
            <w:tcW w:w="1172" w:type="dxa"/>
            <w:tcBorders/>
            <w:shd w:fill="CCEEFF" w:val="clear"/>
            <w:vAlign w:val="center"/>
          </w:tcPr>
          <w:p>
            <w:pPr>
              <w:pStyle w:val="TableContents"/>
              <w:bidi w:val="0"/>
              <w:spacing w:before="0" w:after="283"/>
              <w:jc w:val="right"/>
              <w:rPr/>
            </w:pPr>
            <w:r>
              <w:rPr/>
              <w:t>(933</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832" w:type="dxa"/>
            <w:tcBorders/>
            <w:shd w:fill="CCEEFF" w:val="clear"/>
            <w:vAlign w:val="center"/>
          </w:tcPr>
          <w:p>
            <w:pPr>
              <w:pStyle w:val="TableContents"/>
              <w:bidi w:val="0"/>
              <w:spacing w:before="0" w:after="283"/>
              <w:jc w:val="right"/>
              <w:rPr/>
            </w:pPr>
            <w:r>
              <w:rPr/>
              <w:t>598</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840" w:type="dxa"/>
            <w:tcBorders/>
            <w:shd w:fill="FFFFFF" w:val="clear"/>
            <w:vAlign w:val="center"/>
          </w:tcPr>
          <w:p>
            <w:pPr>
              <w:pStyle w:val="TableContents"/>
              <w:bidi w:val="0"/>
              <w:spacing w:before="0" w:after="283"/>
              <w:jc w:val="left"/>
              <w:rPr/>
            </w:pPr>
            <w:r>
              <w:rPr/>
              <w:t>Internally developed software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pPr>
            <w:r>
              <w:rPr/>
              <w:t>4,980</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pPr>
            <w:r>
              <w:rPr/>
              <w:t>(2,129</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pPr>
            <w:r>
              <w:rPr/>
              <w:t>2,851</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840" w:type="dxa"/>
            <w:tcBorders/>
            <w:shd w:fill="CCEEFF" w:val="clear"/>
            <w:vAlign w:val="center"/>
          </w:tcPr>
          <w:p>
            <w:pPr>
              <w:pStyle w:val="TableContents"/>
              <w:bidi w:val="0"/>
              <w:spacing w:before="0" w:after="283"/>
              <w:jc w:val="left"/>
              <w:rPr/>
            </w:pPr>
            <w:r>
              <w:rPr/>
              <w:t>External software licenses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80" w:type="dxa"/>
            <w:tcBorders>
              <w:bottom w:val="single" w:sz="12" w:space="0" w:color="000000"/>
            </w:tcBorders>
            <w:shd w:fill="CCEEFF" w:val="clear"/>
            <w:tcMar>
              <w:bottom w:w="28" w:type="dxa"/>
            </w:tcMar>
            <w:vAlign w:val="center"/>
          </w:tcPr>
          <w:p>
            <w:pPr>
              <w:pStyle w:val="TableContents"/>
              <w:bidi w:val="0"/>
              <w:spacing w:before="0" w:after="283"/>
              <w:jc w:val="right"/>
              <w:rPr/>
            </w:pPr>
            <w:r>
              <w:rPr/>
              <w:t>163</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2" w:type="dxa"/>
            <w:tcBorders>
              <w:bottom w:val="single" w:sz="12" w:space="0" w:color="000000"/>
            </w:tcBorders>
            <w:shd w:fill="CCEEFF" w:val="clear"/>
            <w:tcMar>
              <w:bottom w:w="28" w:type="dxa"/>
            </w:tcMar>
            <w:vAlign w:val="center"/>
          </w:tcPr>
          <w:p>
            <w:pPr>
              <w:pStyle w:val="TableContents"/>
              <w:bidi w:val="0"/>
              <w:spacing w:before="0" w:after="283"/>
              <w:jc w:val="right"/>
              <w:rPr/>
            </w:pPr>
            <w:r>
              <w:rPr/>
              <w:t>(80</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2" w:type="dxa"/>
            <w:tcBorders>
              <w:bottom w:val="single" w:sz="12" w:space="0" w:color="000000"/>
            </w:tcBorders>
            <w:shd w:fill="CCEEFF" w:val="clear"/>
            <w:tcMar>
              <w:bottom w:w="28" w:type="dxa"/>
            </w:tcMar>
            <w:vAlign w:val="center"/>
          </w:tcPr>
          <w:p>
            <w:pPr>
              <w:pStyle w:val="TableContents"/>
              <w:bidi w:val="0"/>
              <w:spacing w:before="0" w:after="283"/>
              <w:jc w:val="right"/>
              <w:rPr/>
            </w:pPr>
            <w:r>
              <w:rPr/>
              <w:t>83</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84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80" w:type="dxa"/>
            <w:tcBorders>
              <w:bottom w:val="double" w:sz="10" w:space="0" w:color="000000"/>
            </w:tcBorders>
            <w:shd w:fill="FFFFFF" w:val="clear"/>
            <w:tcMar>
              <w:bottom w:w="28" w:type="dxa"/>
            </w:tcMar>
            <w:vAlign w:val="center"/>
          </w:tcPr>
          <w:p>
            <w:pPr>
              <w:pStyle w:val="TableContents"/>
              <w:bidi w:val="0"/>
              <w:spacing w:before="0" w:after="283"/>
              <w:jc w:val="right"/>
              <w:rPr/>
            </w:pPr>
            <w:r>
              <w:rPr/>
              <w:t>6,674</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5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2" w:type="dxa"/>
            <w:tcBorders>
              <w:bottom w:val="double" w:sz="10" w:space="0" w:color="000000"/>
            </w:tcBorders>
            <w:shd w:fill="FFFFFF" w:val="clear"/>
            <w:tcMar>
              <w:bottom w:w="28" w:type="dxa"/>
            </w:tcMar>
            <w:vAlign w:val="center"/>
          </w:tcPr>
          <w:p>
            <w:pPr>
              <w:pStyle w:val="TableContents"/>
              <w:bidi w:val="0"/>
              <w:spacing w:before="0" w:after="283"/>
              <w:jc w:val="right"/>
              <w:rPr/>
            </w:pPr>
            <w:r>
              <w:rPr/>
              <w:t>(3,142</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20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32" w:type="dxa"/>
            <w:tcBorders>
              <w:bottom w:val="double" w:sz="10" w:space="0" w:color="000000"/>
            </w:tcBorders>
            <w:shd w:fill="FFFFFF" w:val="clear"/>
            <w:tcMar>
              <w:bottom w:w="28" w:type="dxa"/>
            </w:tcMar>
            <w:vAlign w:val="center"/>
          </w:tcPr>
          <w:p>
            <w:pPr>
              <w:pStyle w:val="TableContents"/>
              <w:bidi w:val="0"/>
              <w:spacing w:before="0" w:after="283"/>
              <w:jc w:val="right"/>
              <w:rPr/>
            </w:pPr>
            <w:r>
              <w:rPr/>
              <w:t>3,532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2024, and 2023, Old Xanadu recognized amortization expense of $1,539, $1,174, and $917 related to intangible assets,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estimated amortization expense related to intangible assets is as follows:</w:t>
      </w:r>
    </w:p>
    <w:p>
      <w:pPr>
        <w:pStyle w:val="TextBody"/>
        <w:bidi w:val="0"/>
        <w:spacing w:before="0" w:after="0"/>
        <w:ind w:left="360" w:right="0" w:hanging="0"/>
        <w:jc w:val="both"/>
        <w:rPr>
          <w:caps w:val="false"/>
          <w:smallCaps w:val="false"/>
        </w:rPr>
      </w:pPr>
      <w:r>
        <w:rPr>
          <w:caps w:val="false"/>
          <w:smallCaps w:val="false"/>
        </w:rPr>
        <w:t> </w:t>
      </w:r>
    </w:p>
    <w:tbl>
      <w:tblPr>
        <w:tblW w:w="4260" w:type="dxa"/>
        <w:jc w:val="left"/>
        <w:tblInd w:w="0" w:type="dxa"/>
        <w:tblLayout w:type="fixed"/>
        <w:tblCellMar>
          <w:top w:w="0" w:type="dxa"/>
          <w:left w:w="0" w:type="dxa"/>
          <w:bottom w:w="0" w:type="dxa"/>
          <w:right w:w="0" w:type="dxa"/>
        </w:tblCellMar>
      </w:tblPr>
      <w:tblGrid>
        <w:gridCol w:w="3425"/>
        <w:gridCol w:w="60"/>
        <w:gridCol w:w="140"/>
        <w:gridCol w:w="560"/>
        <w:gridCol w:w="75"/>
      </w:tblGrid>
      <w:tr>
        <w:trPr/>
        <w:tc>
          <w:tcPr>
            <w:tcW w:w="3425" w:type="dxa"/>
            <w:tcBorders/>
            <w:vAlign w:val="center"/>
          </w:tcPr>
          <w:p>
            <w:pPr>
              <w:pStyle w:val="TableContents"/>
              <w:bidi w:val="0"/>
              <w:spacing w:before="0" w:after="283"/>
              <w:jc w:val="left"/>
              <w:rPr>
                <w:b/>
              </w:rPr>
            </w:pPr>
            <w:r>
              <w:rPr>
                <w:b/>
              </w:rPr>
              <w:t>Fiscal years ending December 31,</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200"/>
              <w:jc w:val="left"/>
              <w:rPr/>
            </w:pPr>
            <w:r>
              <w:rPr/>
              <w:t> </w:t>
            </w:r>
          </w:p>
        </w:tc>
      </w:tr>
      <w:tr>
        <w:trPr/>
        <w:tc>
          <w:tcPr>
            <w:tcW w:w="3425"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1,782</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42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1,466</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425"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986</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425"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632</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425" w:type="dxa"/>
            <w:tcBorders/>
            <w:shd w:fill="CCEEFF" w:val="clear"/>
            <w:vAlign w:val="center"/>
          </w:tcPr>
          <w:p>
            <w:pPr>
              <w:pStyle w:val="TableContents"/>
              <w:bidi w:val="0"/>
              <w:spacing w:before="0" w:after="283"/>
              <w:jc w:val="left"/>
              <w:rPr/>
            </w:pPr>
            <w:r>
              <w:rPr/>
              <w:t>2030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262</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425"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42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5,128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215"/>
        <w:gridCol w:w="1430"/>
      </w:tblGrid>
      <w:tr>
        <w:trPr/>
        <w:tc>
          <w:tcPr>
            <w:tcW w:w="215" w:type="dxa"/>
            <w:tcBorders/>
            <w:vAlign w:val="center"/>
          </w:tcPr>
          <w:p>
            <w:pPr>
              <w:pStyle w:val="TableContents"/>
              <w:bidi w:val="0"/>
              <w:spacing w:before="0" w:after="283"/>
              <w:jc w:val="left"/>
              <w:rPr>
                <w:b/>
              </w:rPr>
            </w:pPr>
            <w:r>
              <w:rPr>
                <w:b/>
              </w:rPr>
              <w:t>8.</w:t>
            </w:r>
          </w:p>
        </w:tc>
        <w:tc>
          <w:tcPr>
            <w:tcW w:w="1430" w:type="dxa"/>
            <w:tcBorders/>
            <w:vAlign w:val="center"/>
          </w:tcPr>
          <w:p>
            <w:pPr>
              <w:pStyle w:val="TableContents"/>
              <w:bidi w:val="0"/>
              <w:spacing w:before="0" w:after="283"/>
              <w:jc w:val="both"/>
              <w:rPr>
                <w:b/>
              </w:rPr>
            </w:pPr>
            <w:r>
              <w:rPr>
                <w:b/>
              </w:rPr>
              <w:t>Income taxes: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components of net loss before income taxes generated by domestic and foreign operations:</w:t>
      </w:r>
    </w:p>
    <w:p>
      <w:pPr>
        <w:pStyle w:val="TextBody"/>
        <w:bidi w:val="0"/>
        <w:spacing w:before="0" w:after="0"/>
        <w:ind w:left="360" w:right="0" w:hanging="0"/>
        <w:jc w:val="both"/>
        <w:rPr>
          <w:caps w:val="false"/>
          <w:smallCaps w:val="false"/>
        </w:rPr>
      </w:pPr>
      <w:r>
        <w:rPr>
          <w:caps w:val="false"/>
          <w:smallCaps w:val="false"/>
        </w:rPr>
        <w:t> </w:t>
      </w:r>
    </w:p>
    <w:tbl>
      <w:tblPr>
        <w:tblW w:w="5915" w:type="dxa"/>
        <w:jc w:val="left"/>
        <w:tblInd w:w="0" w:type="dxa"/>
        <w:tblLayout w:type="fixed"/>
        <w:tblCellMar>
          <w:top w:w="0" w:type="dxa"/>
          <w:left w:w="0" w:type="dxa"/>
          <w:bottom w:w="0" w:type="dxa"/>
          <w:right w:w="0" w:type="dxa"/>
        </w:tblCellMar>
      </w:tblPr>
      <w:tblGrid>
        <w:gridCol w:w="2750"/>
        <w:gridCol w:w="60"/>
        <w:gridCol w:w="140"/>
        <w:gridCol w:w="755"/>
        <w:gridCol w:w="95"/>
        <w:gridCol w:w="60"/>
        <w:gridCol w:w="140"/>
        <w:gridCol w:w="755"/>
        <w:gridCol w:w="95"/>
        <w:gridCol w:w="60"/>
        <w:gridCol w:w="140"/>
        <w:gridCol w:w="755"/>
        <w:gridCol w:w="110"/>
      </w:tblGrid>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Years ended December 31,</w:t>
            </w:r>
          </w:p>
        </w:tc>
        <w:tc>
          <w:tcPr>
            <w:tcW w:w="11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Domestic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(70,629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(45,965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(35,592</w:t>
            </w:r>
          </w:p>
        </w:tc>
        <w:tc>
          <w:tcPr>
            <w:tcW w:w="110" w:type="dxa"/>
            <w:tcBorders/>
            <w:shd w:fill="CCEEFF" w:val="clear"/>
            <w:vAlign w:val="center"/>
          </w:tcPr>
          <w:p>
            <w:pPr>
              <w:pStyle w:val="TableContents"/>
              <w:bidi w:val="0"/>
              <w:spacing w:before="0" w:after="283"/>
              <w:jc w:val="left"/>
              <w:rPr/>
            </w:pPr>
            <w:r>
              <w:rPr/>
              <w:t>)</w:t>
            </w:r>
          </w:p>
        </w:tc>
      </w:tr>
      <w:tr>
        <w:trPr/>
        <w:tc>
          <w:tcPr>
            <w:tcW w:w="2750" w:type="dxa"/>
            <w:tcBorders/>
            <w:shd w:fill="FFFFFF" w:val="clear"/>
            <w:vAlign w:val="center"/>
          </w:tcPr>
          <w:p>
            <w:pPr>
              <w:pStyle w:val="TableContents"/>
              <w:bidi w:val="0"/>
              <w:spacing w:before="0" w:after="283"/>
              <w:jc w:val="left"/>
              <w:rPr/>
            </w:pPr>
            <w:r>
              <w:rPr/>
              <w:t>Foreign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Net 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(70,667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(45,968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(35,592</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F-58</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i w:val="false"/>
          <w:caps w:val="false"/>
          <w:smallCaps w:val="false"/>
          <w:sz w:val="20"/>
        </w:rPr>
        <w:br/>
        <w:t>Notes to the Consolidated Statements</w:t>
        <w:br/>
        <w:t>(In thousands, except for share and per share amounts)</w:t>
      </w:r>
    </w:p>
    <w:p>
      <w:pPr>
        <w:pStyle w:val="TextBody"/>
        <w:bidi w:val="0"/>
        <w:spacing w:before="0" w:after="0"/>
        <w:jc w:val="center"/>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215"/>
        <w:gridCol w:w="2105"/>
      </w:tblGrid>
      <w:tr>
        <w:trPr/>
        <w:tc>
          <w:tcPr>
            <w:tcW w:w="215" w:type="dxa"/>
            <w:tcBorders/>
            <w:vAlign w:val="center"/>
          </w:tcPr>
          <w:p>
            <w:pPr>
              <w:pStyle w:val="TableContents"/>
              <w:bidi w:val="0"/>
              <w:spacing w:before="0" w:after="283"/>
              <w:jc w:val="left"/>
              <w:rPr>
                <w:b/>
              </w:rPr>
            </w:pPr>
            <w:r>
              <w:rPr>
                <w:b/>
              </w:rPr>
              <w:t>8.</w:t>
            </w:r>
          </w:p>
        </w:tc>
        <w:tc>
          <w:tcPr>
            <w:tcW w:w="2105" w:type="dxa"/>
            <w:tcBorders/>
            <w:vAlign w:val="center"/>
          </w:tcPr>
          <w:p>
            <w:pPr>
              <w:pStyle w:val="TableContents"/>
              <w:bidi w:val="0"/>
              <w:spacing w:before="0" w:after="283"/>
              <w:jc w:val="both"/>
              <w:rPr/>
            </w:pPr>
            <w:r>
              <w:rPr>
                <w:b/>
              </w:rPr>
              <w:t xml:space="preserve">Income taxes: </w:t>
            </w:r>
            <w:r>
              <w:rPr/>
              <w:t>(cont.)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income taxes as of December 31, 2025, 2024, and 2023 is reconciled to net loss before income taxes as follows: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51"/>
        <w:gridCol w:w="60"/>
        <w:gridCol w:w="140"/>
        <w:gridCol w:w="755"/>
        <w:gridCol w:w="215"/>
        <w:gridCol w:w="60"/>
        <w:gridCol w:w="60"/>
        <w:gridCol w:w="515"/>
        <w:gridCol w:w="261"/>
        <w:gridCol w:w="60"/>
        <w:gridCol w:w="140"/>
        <w:gridCol w:w="755"/>
        <w:gridCol w:w="215"/>
        <w:gridCol w:w="60"/>
        <w:gridCol w:w="60"/>
        <w:gridCol w:w="515"/>
        <w:gridCol w:w="261"/>
        <w:gridCol w:w="60"/>
        <w:gridCol w:w="140"/>
        <w:gridCol w:w="755"/>
        <w:gridCol w:w="215"/>
        <w:gridCol w:w="60"/>
        <w:gridCol w:w="60"/>
        <w:gridCol w:w="515"/>
        <w:gridCol w:w="217"/>
      </w:tblGrid>
      <w:tr>
        <w:trPr/>
        <w:tc>
          <w:tcPr>
            <w:tcW w:w="4051"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5877"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Years ended December 31,</w:t>
            </w:r>
          </w:p>
        </w:tc>
        <w:tc>
          <w:tcPr>
            <w:tcW w:w="217" w:type="dxa"/>
            <w:tcBorders/>
            <w:vAlign w:val="center"/>
          </w:tcPr>
          <w:p>
            <w:pPr>
              <w:pStyle w:val="TableContents"/>
              <w:bidi w:val="0"/>
              <w:spacing w:before="0" w:after="283"/>
              <w:ind w:left="0" w:right="0" w:hanging="180"/>
              <w:jc w:val="left"/>
              <w:rPr/>
            </w:pPr>
            <w:r>
              <w:rPr/>
              <w:t> </w:t>
            </w:r>
          </w:p>
        </w:tc>
      </w:tr>
      <w:tr>
        <w:trPr/>
        <w:tc>
          <w:tcPr>
            <w:tcW w:w="40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7" w:type="dxa"/>
            <w:tcBorders/>
            <w:vAlign w:val="center"/>
          </w:tcPr>
          <w:p>
            <w:pPr>
              <w:pStyle w:val="TableContents"/>
              <w:bidi w:val="0"/>
              <w:spacing w:before="0" w:after="283"/>
              <w:ind w:left="0" w:right="0" w:hanging="180"/>
              <w:jc w:val="left"/>
              <w:rPr/>
            </w:pPr>
            <w:r>
              <w:rPr/>
              <w:t> </w:t>
            </w:r>
          </w:p>
        </w:tc>
      </w:tr>
      <w:tr>
        <w:trPr/>
        <w:tc>
          <w:tcPr>
            <w:tcW w:w="4051" w:type="dxa"/>
            <w:tcBorders/>
            <w:shd w:fill="CCEEFF" w:val="clear"/>
            <w:vAlign w:val="center"/>
          </w:tcPr>
          <w:p>
            <w:pPr>
              <w:pStyle w:val="TableContents"/>
              <w:bidi w:val="0"/>
              <w:spacing w:before="0" w:after="283"/>
              <w:jc w:val="left"/>
              <w:rPr/>
            </w:pPr>
            <w:r>
              <w:rPr/>
              <w:t>Net 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(70,667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2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(45,968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2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(35,592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217" w:type="dxa"/>
            <w:tcBorders/>
            <w:shd w:fill="CCEEFF" w:val="clear"/>
            <w:vAlign w:val="center"/>
          </w:tcPr>
          <w:p>
            <w:pPr>
              <w:pStyle w:val="TableContents"/>
              <w:bidi w:val="0"/>
              <w:spacing w:before="0" w:after="283"/>
              <w:ind w:left="0" w:right="0" w:hanging="180"/>
              <w:jc w:val="left"/>
              <w:rPr/>
            </w:pPr>
            <w:r>
              <w:rPr/>
              <w:t> </w:t>
            </w:r>
          </w:p>
        </w:tc>
      </w:tr>
      <w:tr>
        <w:trPr/>
        <w:tc>
          <w:tcPr>
            <w:tcW w:w="4051" w:type="dxa"/>
            <w:tcBorders/>
            <w:shd w:fill="FFFFFF" w:val="clear"/>
            <w:vAlign w:val="center"/>
          </w:tcPr>
          <w:p>
            <w:pPr>
              <w:pStyle w:val="TableContents"/>
              <w:bidi w:val="0"/>
              <w:spacing w:before="0" w:after="283"/>
              <w:jc w:val="left"/>
              <w:rPr>
                <w:sz w:val="20"/>
              </w:rPr>
            </w:pPr>
            <w:r>
              <w:rPr>
                <w:sz w:val="20"/>
              </w:rPr>
              <w:t>Canadian federal statutory tax rate</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ind w:left="0" w:right="0" w:hanging="180"/>
              <w:jc w:val="left"/>
              <w:rPr/>
            </w:pPr>
            <w:r>
              <w:rPr/>
              <w:t> </w:t>
            </w:r>
          </w:p>
        </w:tc>
      </w:tr>
      <w:tr>
        <w:trPr/>
        <w:tc>
          <w:tcPr>
            <w:tcW w:w="4051" w:type="dxa"/>
            <w:tcBorders/>
            <w:shd w:fill="CCEEFF" w:val="clear"/>
            <w:vAlign w:val="center"/>
          </w:tcPr>
          <w:p>
            <w:pPr>
              <w:pStyle w:val="TableContents"/>
              <w:bidi w:val="0"/>
              <w:spacing w:before="0" w:after="283"/>
              <w:jc w:val="left"/>
              <w:rPr/>
            </w:pPr>
            <w:r>
              <w:rPr/>
              <w:t>Expected provision for income taxes at federal statutory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(10,600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15.0</w:t>
            </w:r>
          </w:p>
        </w:tc>
        <w:tc>
          <w:tcPr>
            <w:tcW w:w="26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(6,895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15.0</w:t>
            </w:r>
          </w:p>
        </w:tc>
        <w:tc>
          <w:tcPr>
            <w:tcW w:w="26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(5,339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15.0</w:t>
            </w:r>
          </w:p>
        </w:tc>
        <w:tc>
          <w:tcPr>
            <w:tcW w:w="217" w:type="dxa"/>
            <w:tcBorders/>
            <w:shd w:fill="CCEEFF" w:val="clear"/>
            <w:vAlign w:val="center"/>
          </w:tcPr>
          <w:p>
            <w:pPr>
              <w:pStyle w:val="TableContents"/>
              <w:bidi w:val="0"/>
              <w:spacing w:before="0" w:after="283"/>
              <w:ind w:left="0" w:right="0" w:hanging="180"/>
              <w:jc w:val="left"/>
              <w:rPr/>
            </w:pPr>
            <w:r>
              <w:rPr/>
              <w:t>%</w:t>
            </w:r>
          </w:p>
        </w:tc>
      </w:tr>
      <w:tr>
        <w:trPr/>
        <w:tc>
          <w:tcPr>
            <w:tcW w:w="4051" w:type="dxa"/>
            <w:tcBorders/>
            <w:shd w:fill="FFFFFF" w:val="clear"/>
            <w:vAlign w:val="center"/>
          </w:tcPr>
          <w:p>
            <w:pPr>
              <w:pStyle w:val="TableContents"/>
              <w:bidi w:val="0"/>
              <w:spacing w:before="0" w:after="283"/>
              <w:jc w:val="left"/>
              <w:rPr/>
            </w:pPr>
            <w:r>
              <w:rPr/>
              <w:t>Foreign tax effects: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ind w:left="0" w:right="0" w:hanging="180"/>
              <w:jc w:val="left"/>
              <w:rPr/>
            </w:pPr>
            <w:r>
              <w:rPr/>
              <w:t> </w:t>
            </w:r>
          </w:p>
        </w:tc>
      </w:tr>
      <w:tr>
        <w:trPr/>
        <w:tc>
          <w:tcPr>
            <w:tcW w:w="4051"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(0.0</w:t>
            </w:r>
          </w:p>
        </w:tc>
        <w:tc>
          <w:tcPr>
            <w:tcW w:w="26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w:t>
            </w:r>
          </w:p>
        </w:tc>
        <w:tc>
          <w:tcPr>
            <w:tcW w:w="2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w:t>
            </w:r>
          </w:p>
        </w:tc>
        <w:tc>
          <w:tcPr>
            <w:tcW w:w="217" w:type="dxa"/>
            <w:tcBorders/>
            <w:shd w:fill="CCEEFF" w:val="clear"/>
            <w:vAlign w:val="center"/>
          </w:tcPr>
          <w:p>
            <w:pPr>
              <w:pStyle w:val="TableContents"/>
              <w:bidi w:val="0"/>
              <w:spacing w:before="0" w:after="283"/>
              <w:ind w:left="0" w:right="0" w:hanging="180"/>
              <w:jc w:val="left"/>
              <w:rPr/>
            </w:pPr>
            <w:r>
              <w:rPr/>
              <w:t> </w:t>
            </w:r>
          </w:p>
        </w:tc>
      </w:tr>
      <w:tr>
        <w:trPr/>
        <w:tc>
          <w:tcPr>
            <w:tcW w:w="4051" w:type="dxa"/>
            <w:tcBorders/>
            <w:shd w:fill="FFFFFF" w:val="clear"/>
            <w:vAlign w:val="center"/>
          </w:tcPr>
          <w:p>
            <w:pPr>
              <w:pStyle w:val="TableContents"/>
              <w:bidi w:val="0"/>
              <w:spacing w:before="0" w:after="283"/>
              <w:jc w:val="left"/>
              <w:rPr/>
            </w:pPr>
            <w:r>
              <w:rPr/>
              <w:t>Non-taxable or non-deductible items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ind w:left="0" w:right="0" w:hanging="180"/>
              <w:jc w:val="left"/>
              <w:rPr/>
            </w:pPr>
            <w:r>
              <w:rPr/>
              <w:t> </w:t>
            </w:r>
          </w:p>
        </w:tc>
      </w:tr>
      <w:tr>
        <w:trPr/>
        <w:tc>
          <w:tcPr>
            <w:tcW w:w="4051"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544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(0.8</w:t>
            </w:r>
          </w:p>
        </w:tc>
        <w:tc>
          <w:tcPr>
            <w:tcW w:w="26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453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(1.0</w:t>
            </w:r>
          </w:p>
        </w:tc>
        <w:tc>
          <w:tcPr>
            <w:tcW w:w="26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327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(0.9</w:t>
            </w:r>
          </w:p>
        </w:tc>
        <w:tc>
          <w:tcPr>
            <w:tcW w:w="217" w:type="dxa"/>
            <w:tcBorders/>
            <w:shd w:fill="CCEEFF" w:val="clear"/>
            <w:vAlign w:val="center"/>
          </w:tcPr>
          <w:p>
            <w:pPr>
              <w:pStyle w:val="TableContents"/>
              <w:bidi w:val="0"/>
              <w:spacing w:before="0" w:after="283"/>
              <w:ind w:left="0" w:right="0" w:hanging="180"/>
              <w:jc w:val="left"/>
              <w:rPr/>
            </w:pPr>
            <w:r>
              <w:rPr/>
              <w:t>)%</w:t>
            </w:r>
          </w:p>
        </w:tc>
      </w:tr>
      <w:tr>
        <w:trPr/>
        <w:tc>
          <w:tcPr>
            <w:tcW w:w="4051"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428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(0.6</w:t>
            </w:r>
          </w:p>
        </w:tc>
        <w:tc>
          <w:tcPr>
            <w:tcW w:w="261"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(0.1</w:t>
            </w:r>
          </w:p>
        </w:tc>
        <w:tc>
          <w:tcPr>
            <w:tcW w:w="261"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(0.1</w:t>
            </w:r>
          </w:p>
        </w:tc>
        <w:tc>
          <w:tcPr>
            <w:tcW w:w="217" w:type="dxa"/>
            <w:tcBorders/>
            <w:shd w:fill="FFFFFF" w:val="clear"/>
            <w:vAlign w:val="center"/>
          </w:tcPr>
          <w:p>
            <w:pPr>
              <w:pStyle w:val="TableContents"/>
              <w:bidi w:val="0"/>
              <w:spacing w:before="0" w:after="283"/>
              <w:ind w:left="0" w:right="0" w:hanging="180"/>
              <w:jc w:val="left"/>
              <w:rPr/>
            </w:pPr>
            <w:r>
              <w:rPr/>
              <w:t>)%</w:t>
            </w:r>
          </w:p>
        </w:tc>
      </w:tr>
      <w:tr>
        <w:trPr/>
        <w:tc>
          <w:tcPr>
            <w:tcW w:w="4051" w:type="dxa"/>
            <w:tcBorders/>
            <w:shd w:fill="CCEEFF" w:val="clear"/>
            <w:vAlign w:val="center"/>
          </w:tcPr>
          <w:p>
            <w:pPr>
              <w:pStyle w:val="TableContents"/>
              <w:bidi w:val="0"/>
              <w:spacing w:before="0" w:after="283"/>
              <w:jc w:val="left"/>
              <w:rPr/>
            </w:pPr>
            <w:r>
              <w:rPr/>
              <w:t>Tax credits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(6,205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8.8</w:t>
            </w:r>
          </w:p>
        </w:tc>
        <w:tc>
          <w:tcPr>
            <w:tcW w:w="26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w:t>
            </w:r>
          </w:p>
        </w:tc>
        <w:tc>
          <w:tcPr>
            <w:tcW w:w="2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(1,770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5.0</w:t>
            </w:r>
          </w:p>
        </w:tc>
        <w:tc>
          <w:tcPr>
            <w:tcW w:w="217" w:type="dxa"/>
            <w:tcBorders/>
            <w:shd w:fill="CCEEFF" w:val="clear"/>
            <w:vAlign w:val="center"/>
          </w:tcPr>
          <w:p>
            <w:pPr>
              <w:pStyle w:val="TableContents"/>
              <w:bidi w:val="0"/>
              <w:spacing w:before="0" w:after="283"/>
              <w:ind w:left="0" w:right="0" w:hanging="180"/>
              <w:jc w:val="left"/>
              <w:rPr/>
            </w:pPr>
            <w:r>
              <w:rPr/>
              <w:t>%</w:t>
            </w:r>
          </w:p>
        </w:tc>
      </w:tr>
      <w:tr>
        <w:trPr/>
        <w:tc>
          <w:tcPr>
            <w:tcW w:w="4051" w:type="dxa"/>
            <w:tcBorders/>
            <w:shd w:fill="FFFFFF" w:val="clear"/>
            <w:vAlign w:val="center"/>
          </w:tcPr>
          <w:p>
            <w:pPr>
              <w:pStyle w:val="TableContents"/>
              <w:bidi w:val="0"/>
              <w:spacing w:before="0" w:after="283"/>
              <w:jc w:val="left"/>
              <w:rPr/>
            </w:pPr>
            <w:r>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13,179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(18.6</w:t>
            </w:r>
          </w:p>
        </w:tc>
        <w:tc>
          <w:tcPr>
            <w:tcW w:w="261"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6,391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(13.9</w:t>
            </w:r>
          </w:p>
        </w:tc>
        <w:tc>
          <w:tcPr>
            <w:tcW w:w="261"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6,768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(19.0</w:t>
            </w:r>
          </w:p>
        </w:tc>
        <w:tc>
          <w:tcPr>
            <w:tcW w:w="217" w:type="dxa"/>
            <w:tcBorders/>
            <w:shd w:fill="FFFFFF" w:val="clear"/>
            <w:vAlign w:val="center"/>
          </w:tcPr>
          <w:p>
            <w:pPr>
              <w:pStyle w:val="TableContents"/>
              <w:bidi w:val="0"/>
              <w:spacing w:before="0" w:after="283"/>
              <w:ind w:left="0" w:right="0" w:hanging="180"/>
              <w:jc w:val="left"/>
              <w:rPr/>
            </w:pPr>
            <w:r>
              <w:rPr/>
              <w:t>)%</w:t>
            </w:r>
          </w:p>
        </w:tc>
      </w:tr>
      <w:tr>
        <w:trPr/>
        <w:tc>
          <w:tcPr>
            <w:tcW w:w="4051" w:type="dxa"/>
            <w:tcBorders/>
            <w:shd w:fill="CCEEFF" w:val="clear"/>
            <w:vAlign w:val="center"/>
          </w:tcPr>
          <w:p>
            <w:pPr>
              <w:pStyle w:val="TableContents"/>
              <w:bidi w:val="0"/>
              <w:spacing w:before="0" w:after="283"/>
              <w:jc w:val="left"/>
              <w:rPr/>
            </w:pPr>
            <w:r>
              <w:rPr/>
              <w:t>Return to provision true-up</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323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(0.5</w:t>
            </w:r>
          </w:p>
        </w:tc>
        <w:tc>
          <w:tcPr>
            <w:tcW w:w="26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w:t>
            </w:r>
          </w:p>
        </w:tc>
        <w:tc>
          <w:tcPr>
            <w:tcW w:w="2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(0.1</w:t>
            </w:r>
          </w:p>
        </w:tc>
        <w:tc>
          <w:tcPr>
            <w:tcW w:w="217" w:type="dxa"/>
            <w:tcBorders/>
            <w:shd w:fill="CCEEFF" w:val="clear"/>
            <w:vAlign w:val="center"/>
          </w:tcPr>
          <w:p>
            <w:pPr>
              <w:pStyle w:val="TableContents"/>
              <w:bidi w:val="0"/>
              <w:spacing w:before="0" w:after="283"/>
              <w:ind w:left="0" w:right="0" w:hanging="180"/>
              <w:jc w:val="left"/>
              <w:rPr/>
            </w:pPr>
            <w:r>
              <w:rPr/>
              <w:t>)%</w:t>
            </w:r>
          </w:p>
        </w:tc>
      </w:tr>
      <w:tr>
        <w:trPr/>
        <w:tc>
          <w:tcPr>
            <w:tcW w:w="4051" w:type="dxa"/>
            <w:tcBorders/>
            <w:shd w:fill="FFFFFF" w:val="clear"/>
            <w:vAlign w:val="center"/>
          </w:tcPr>
          <w:p>
            <w:pPr>
              <w:pStyle w:val="TableContents"/>
              <w:bidi w:val="0"/>
              <w:spacing w:before="0" w:after="283"/>
              <w:jc w:val="left"/>
              <w:rPr/>
            </w:pPr>
            <w:r>
              <w:rPr/>
              <w:t>Foreign exchange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2,325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(3.3</w:t>
            </w:r>
          </w:p>
        </w:tc>
        <w:tc>
          <w:tcPr>
            <w:tcW w:w="261"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0.0</w:t>
            </w:r>
          </w:p>
        </w:tc>
        <w:tc>
          <w:tcPr>
            <w:tcW w:w="261"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0.1</w:t>
            </w:r>
          </w:p>
        </w:tc>
        <w:tc>
          <w:tcPr>
            <w:tcW w:w="217" w:type="dxa"/>
            <w:tcBorders/>
            <w:shd w:fill="FFFFFF" w:val="clear"/>
            <w:vAlign w:val="center"/>
          </w:tcPr>
          <w:p>
            <w:pPr>
              <w:pStyle w:val="TableContents"/>
              <w:bidi w:val="0"/>
              <w:spacing w:before="0" w:after="283"/>
              <w:ind w:left="0" w:right="0" w:hanging="180"/>
              <w:jc w:val="left"/>
              <w:rPr/>
            </w:pPr>
            <w:r>
              <w:rPr/>
              <w:t>%</w:t>
            </w:r>
          </w:p>
        </w:tc>
      </w:tr>
      <w:tr>
        <w:trPr/>
        <w:tc>
          <w:tcPr>
            <w:tcW w:w="4051"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17" w:type="dxa"/>
            <w:tcBorders/>
            <w:shd w:fill="CCEEFF" w:val="clear"/>
            <w:vAlign w:val="center"/>
          </w:tcPr>
          <w:p>
            <w:pPr>
              <w:pStyle w:val="TableContents"/>
              <w:bidi w:val="0"/>
              <w:spacing w:before="0" w:after="283"/>
              <w:ind w:left="0" w:right="0" w:hanging="180"/>
              <w:jc w:val="left"/>
              <w:rPr/>
            </w:pPr>
            <w:r>
              <w:rPr/>
              <w:t> </w:t>
            </w:r>
          </w:p>
        </w:tc>
      </w:tr>
      <w:tr>
        <w:trPr/>
        <w:tc>
          <w:tcPr>
            <w:tcW w:w="4051" w:type="dxa"/>
            <w:tcBorders/>
            <w:shd w:fill="FFFFFF" w:val="clear"/>
            <w:vAlign w:val="center"/>
          </w:tcPr>
          <w:p>
            <w:pPr>
              <w:pStyle w:val="TableContents"/>
              <w:bidi w:val="0"/>
              <w:spacing w:before="0" w:after="283"/>
              <w:jc w:val="left"/>
              <w:rPr/>
            </w:pPr>
            <w:r>
              <w:rPr/>
              <w:t>Effective tax rate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2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2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217"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(1)</w:t>
            </w:r>
          </w:p>
        </w:tc>
        <w:tc>
          <w:tcPr>
            <w:tcW w:w="9918" w:type="dxa"/>
            <w:tcBorders/>
            <w:vAlign w:val="center"/>
          </w:tcPr>
          <w:p>
            <w:pPr>
              <w:pStyle w:val="TableContents"/>
              <w:bidi w:val="0"/>
              <w:spacing w:before="0" w:after="283"/>
              <w:jc w:val="both"/>
              <w:rPr/>
            </w:pPr>
            <w:r>
              <w:rPr/>
              <w:t>We apply the federal tax rate of 15% which is the federal statutory rate of Canada, net of the general tax reduction and tax abatement.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Old Xanadu’s deferred tax assets and liabilities as of December 31, 2025, 2024, and 2023 are as follows:</w:t>
      </w:r>
    </w:p>
    <w:p>
      <w:pPr>
        <w:pStyle w:val="TextBody"/>
        <w:bidi w:val="0"/>
        <w:spacing w:before="0" w:after="0"/>
        <w:jc w:val="both"/>
        <w:rPr>
          <w:caps w:val="false"/>
          <w:smallCaps w:val="false"/>
        </w:rPr>
      </w:pPr>
      <w:r>
        <w:rPr>
          <w:caps w:val="false"/>
          <w:smallCaps w:val="false"/>
        </w:rPr>
        <w:t> </w:t>
      </w:r>
    </w:p>
    <w:tbl>
      <w:tblPr>
        <w:tblW w:w="7940" w:type="dxa"/>
        <w:jc w:val="left"/>
        <w:tblInd w:w="0" w:type="dxa"/>
        <w:tblLayout w:type="fixed"/>
        <w:tblCellMar>
          <w:top w:w="0" w:type="dxa"/>
          <w:left w:w="0" w:type="dxa"/>
          <w:bottom w:w="0" w:type="dxa"/>
          <w:right w:w="0" w:type="dxa"/>
        </w:tblCellMar>
      </w:tblPr>
      <w:tblGrid>
        <w:gridCol w:w="4775"/>
        <w:gridCol w:w="60"/>
        <w:gridCol w:w="140"/>
        <w:gridCol w:w="755"/>
        <w:gridCol w:w="95"/>
        <w:gridCol w:w="60"/>
        <w:gridCol w:w="140"/>
        <w:gridCol w:w="755"/>
        <w:gridCol w:w="95"/>
        <w:gridCol w:w="60"/>
        <w:gridCol w:w="140"/>
        <w:gridCol w:w="755"/>
        <w:gridCol w:w="110"/>
      </w:tblGrid>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Years ended December 31,</w:t>
            </w:r>
          </w:p>
        </w:tc>
        <w:tc>
          <w:tcPr>
            <w:tcW w:w="110"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ind w:left="0" w:right="0" w:hanging="180"/>
              <w:jc w:val="left"/>
              <w:rPr/>
            </w:pPr>
            <w:r>
              <w:rPr/>
              <w:t> </w:t>
            </w:r>
          </w:p>
        </w:tc>
      </w:tr>
      <w:tr>
        <w:trPr/>
        <w:tc>
          <w:tcPr>
            <w:tcW w:w="4775" w:type="dxa"/>
            <w:tcBorders/>
            <w:shd w:fill="CCEEFF" w:val="clear"/>
            <w:vAlign w:val="center"/>
          </w:tcPr>
          <w:p>
            <w:pPr>
              <w:pStyle w:val="TableContents"/>
              <w:bidi w:val="0"/>
              <w:spacing w:before="0" w:after="283"/>
              <w:jc w:val="left"/>
              <w:rPr/>
            </w:pPr>
            <w:r>
              <w:rPr/>
              <w:t>Non-capital losses available for carryforward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16,170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14,002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15,844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75" w:type="dxa"/>
            <w:tcBorders/>
            <w:shd w:fill="FFFFFF" w:val="clear"/>
            <w:vAlign w:val="center"/>
          </w:tcPr>
          <w:p>
            <w:pPr>
              <w:pStyle w:val="TableContents"/>
              <w:bidi w:val="0"/>
              <w:spacing w:before="0" w:after="283"/>
              <w:jc w:val="left"/>
              <w:rPr/>
            </w:pPr>
            <w:r>
              <w:rPr/>
              <w:t>Investment tax credits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13,245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3,814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4,139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75" w:type="dxa"/>
            <w:tcBorders/>
            <w:shd w:fill="CCEEFF" w:val="clear"/>
            <w:vAlign w:val="center"/>
          </w:tcPr>
          <w:p>
            <w:pPr>
              <w:pStyle w:val="TableContents"/>
              <w:bidi w:val="0"/>
              <w:spacing w:before="0" w:after="283"/>
              <w:jc w:val="left"/>
              <w:rPr/>
            </w:pPr>
            <w:r>
              <w:rPr/>
              <w:t>SR&amp;ED Pool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12,336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2,250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75" w:type="dxa"/>
            <w:tcBorders/>
            <w:shd w:fill="FFFFFF" w:val="clear"/>
            <w:vAlign w:val="center"/>
          </w:tcPr>
          <w:p>
            <w:pPr>
              <w:pStyle w:val="TableContents"/>
              <w:bidi w:val="0"/>
              <w:spacing w:before="0" w:after="283"/>
              <w:jc w:val="left"/>
              <w:rPr/>
            </w:pPr>
            <w:r>
              <w:rPr/>
              <w:t>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15,268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14,388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3,560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75" w:type="dxa"/>
            <w:tcBorders/>
            <w:shd w:fill="CCEEFF" w:val="clear"/>
            <w:vAlign w:val="center"/>
          </w:tcPr>
          <w:p>
            <w:pPr>
              <w:pStyle w:val="TableContents"/>
              <w:bidi w:val="0"/>
              <w:spacing w:before="0" w:after="283"/>
              <w:jc w:val="left"/>
              <w:rPr/>
            </w:pPr>
            <w:r>
              <w:rPr/>
              <w:t>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2,699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75" w:type="dxa"/>
            <w:tcBorders/>
            <w:shd w:fill="FFFFFF" w:val="clear"/>
            <w:vAlign w:val="center"/>
          </w:tcPr>
          <w:p>
            <w:pPr>
              <w:pStyle w:val="TableContents"/>
              <w:bidi w:val="0"/>
              <w:spacing w:before="0" w:after="283"/>
              <w:jc w:val="left"/>
              <w:rPr/>
            </w:pPr>
            <w:r>
              <w:rPr/>
              <w:t>Donations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75" w:type="dxa"/>
            <w:tcBorders/>
            <w:shd w:fill="CCEEFF" w:val="clear"/>
            <w:vAlign w:val="center"/>
          </w:tcPr>
          <w:p>
            <w:pPr>
              <w:pStyle w:val="TableContents"/>
              <w:bidi w:val="0"/>
              <w:spacing w:before="0" w:after="283"/>
              <w:jc w:val="left"/>
              <w:rPr/>
            </w:pPr>
            <w:r>
              <w:rPr/>
              <w:t>Deferred grant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75" w:type="dxa"/>
            <w:tcBorders/>
            <w:shd w:fill="FFFFFF" w:val="clear"/>
            <w:vAlign w:val="center"/>
          </w:tcPr>
          <w:p>
            <w:pPr>
              <w:pStyle w:val="TableContents"/>
              <w:bidi w:val="0"/>
              <w:spacing w:before="0" w:after="283"/>
              <w:jc w:val="left"/>
              <w:rPr/>
            </w:pPr>
            <w:r>
              <w:rPr/>
              <w:t>Total deferred tax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59,341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36,405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28,494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75" w:type="dxa"/>
            <w:tcBorders/>
            <w:shd w:fill="CCEEFF" w:val="clear"/>
            <w:vAlign w:val="center"/>
          </w:tcPr>
          <w:p>
            <w:pPr>
              <w:pStyle w:val="TableContents"/>
              <w:bidi w:val="0"/>
              <w:spacing w:before="0" w:after="283"/>
              <w:jc w:val="left"/>
              <w:rPr/>
            </w:pPr>
            <w:r>
              <w:rPr/>
              <w:t>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(1,283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775" w:type="dxa"/>
            <w:tcBorders/>
            <w:shd w:fill="FFFFFF" w:val="clear"/>
            <w:vAlign w:val="center"/>
          </w:tcPr>
          <w:p>
            <w:pPr>
              <w:pStyle w:val="TableContents"/>
              <w:bidi w:val="0"/>
              <w:spacing w:before="0" w:after="283"/>
              <w:jc w:val="left"/>
              <w:rPr/>
            </w:pPr>
            <w:r>
              <w:rPr/>
              <w:t>Tax on investment credits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(2,778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(832</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775" w:type="dxa"/>
            <w:tcBorders/>
            <w:shd w:fill="CCEEFF" w:val="clear"/>
            <w:vAlign w:val="center"/>
          </w:tcPr>
          <w:p>
            <w:pPr>
              <w:pStyle w:val="TableContents"/>
              <w:bidi w:val="0"/>
              <w:spacing w:before="0" w:after="283"/>
              <w:jc w:val="left"/>
              <w:rPr/>
            </w:pPr>
            <w:r>
              <w:rPr/>
              <w:t>Financing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775" w:type="dxa"/>
            <w:tcBorders/>
            <w:shd w:fill="FFFFFF" w:val="clear"/>
            <w:vAlign w:val="center"/>
          </w:tcPr>
          <w:p>
            <w:pPr>
              <w:pStyle w:val="TableContents"/>
              <w:bidi w:val="0"/>
              <w:spacing w:before="0" w:after="283"/>
              <w:jc w:val="left"/>
              <w:rPr/>
            </w:pPr>
            <w:r>
              <w:rPr/>
              <w:t>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(1,842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(1,758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(2,264</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775" w:type="dxa"/>
            <w:tcBorders/>
            <w:shd w:fill="CCEEFF" w:val="clear"/>
            <w:vAlign w:val="center"/>
          </w:tcPr>
          <w:p>
            <w:pPr>
              <w:pStyle w:val="TableContents"/>
              <w:bidi w:val="0"/>
              <w:spacing w:before="0" w:after="283"/>
              <w:jc w:val="left"/>
              <w:rPr/>
            </w:pPr>
            <w:r>
              <w:rPr/>
              <w:t>Total deferred tax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(4,980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(3,513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(4,450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75" w:type="dxa"/>
            <w:tcBorders/>
            <w:shd w:fill="CCEEFF" w:val="clear"/>
            <w:vAlign w:val="center"/>
          </w:tcPr>
          <w:p>
            <w:pPr>
              <w:pStyle w:val="TableContents"/>
              <w:bidi w:val="0"/>
              <w:spacing w:before="0" w:after="283"/>
              <w:jc w:val="left"/>
              <w:rPr/>
            </w:pPr>
            <w:r>
              <w:rPr/>
              <w:t>Net deferred tax assets before 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54,361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32,892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24,044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75" w:type="dxa"/>
            <w:tcBorders/>
            <w:shd w:fill="FFFFFF" w:val="clear"/>
            <w:vAlign w:val="center"/>
          </w:tcPr>
          <w:p>
            <w:pPr>
              <w:pStyle w:val="TableContents"/>
              <w:bidi w:val="0"/>
              <w:spacing w:before="0" w:after="283"/>
              <w:jc w:val="left"/>
              <w:rPr/>
            </w:pPr>
            <w:r>
              <w:rPr/>
              <w:t>Valuation allowance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(54,361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(32,892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(24,044</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775" w:type="dxa"/>
            <w:tcBorders/>
            <w:shd w:fill="CCEEFF" w:val="clear"/>
            <w:vAlign w:val="center"/>
          </w:tcPr>
          <w:p>
            <w:pPr>
              <w:pStyle w:val="TableContents"/>
              <w:bidi w:val="0"/>
              <w:spacing w:before="0" w:after="283"/>
              <w:jc w:val="left"/>
              <w:rPr/>
            </w:pPr>
            <w:r>
              <w:rPr/>
              <w:t>Net deferred tax assets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F-59</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i w:val="false"/>
          <w:caps w:val="false"/>
          <w:smallCaps w:val="false"/>
          <w:sz w:val="20"/>
        </w:rPr>
        <w:br/>
        <w:t>Notes to the Consolidated Statements</w:t>
        <w:br/>
        <w:t>(In thousands, except for share and per share amounts)</w:t>
      </w:r>
    </w:p>
    <w:p>
      <w:pPr>
        <w:pStyle w:val="TextBody"/>
        <w:bidi w:val="0"/>
        <w:spacing w:before="0" w:after="0"/>
        <w:jc w:val="both"/>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215"/>
        <w:gridCol w:w="2105"/>
      </w:tblGrid>
      <w:tr>
        <w:trPr/>
        <w:tc>
          <w:tcPr>
            <w:tcW w:w="215" w:type="dxa"/>
            <w:tcBorders/>
            <w:vAlign w:val="center"/>
          </w:tcPr>
          <w:p>
            <w:pPr>
              <w:pStyle w:val="TableContents"/>
              <w:bidi w:val="0"/>
              <w:spacing w:before="0" w:after="283"/>
              <w:jc w:val="left"/>
              <w:rPr>
                <w:b/>
              </w:rPr>
            </w:pPr>
            <w:r>
              <w:rPr>
                <w:b/>
              </w:rPr>
              <w:t>8.</w:t>
            </w:r>
          </w:p>
        </w:tc>
        <w:tc>
          <w:tcPr>
            <w:tcW w:w="2105" w:type="dxa"/>
            <w:tcBorders/>
            <w:vAlign w:val="center"/>
          </w:tcPr>
          <w:p>
            <w:pPr>
              <w:pStyle w:val="TableContents"/>
              <w:bidi w:val="0"/>
              <w:spacing w:before="0" w:after="283"/>
              <w:jc w:val="both"/>
              <w:rPr/>
            </w:pPr>
            <w:r>
              <w:rPr>
                <w:b/>
              </w:rPr>
              <w:t xml:space="preserve">Income taxes: </w:t>
            </w:r>
            <w:r>
              <w:rPr/>
              <w:t>(cont.)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has evaluated the positive and negative evidence bearing upon the realizability of its deferred tax assets and determined that it is more likely than not that it will not realize most of the benefits of its deferred tax assets due to the cumulative operating loss in recent years. Accordingly, Old Xanadu has provided a full valuation allowance as at December 31, 2025, 2024, and 2023. The net increase in the valuation allowance of $21,469 in the year ended December 31, 2025 is primarily due to the impact of capitalized research and development expenses and current year operating losses. Old Xanadu will continue to reassess the valuation allowance quarterly and if future evidence allows for a partial or full release of the valuation allowance, a tax benefit will be recorded accordingly.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December 31, 2025, Old Xanadu has unused Canadian non-capital loss carry forwards of approximately $60,990 (2024: $52,839, 2023: $59,788), which are available to offset future taxable income. The loss carry forwards expire between 2042 and 2045. In addition, Old Xanadu has non-refundable Canadian ITCs of approximately $13,245 (2024: $3,814, 2023: $4,139) expiring between 2039 and 2044, which are available to be applied against future Canadian income taxes payable.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had no material uncertain income tax positions for the years ended December 31, 2025, 2024, and 2023. During the years ended December 31, 2025, 2024, and 2023, there were no material interest or penalties related to uncertain tax positions. Old Xanadu remains subject to audit by the relevant tax authorities for the years ended 2022 through 2025.</w:t>
      </w:r>
    </w:p>
    <w:p>
      <w:pPr>
        <w:pStyle w:val="TextBody"/>
        <w:bidi w:val="0"/>
        <w:spacing w:before="0" w:after="0"/>
        <w:jc w:val="both"/>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215"/>
        <w:gridCol w:w="1715"/>
      </w:tblGrid>
      <w:tr>
        <w:trPr/>
        <w:tc>
          <w:tcPr>
            <w:tcW w:w="215" w:type="dxa"/>
            <w:tcBorders/>
            <w:vAlign w:val="center"/>
          </w:tcPr>
          <w:p>
            <w:pPr>
              <w:pStyle w:val="TableContents"/>
              <w:bidi w:val="0"/>
              <w:spacing w:before="0" w:after="283"/>
              <w:jc w:val="left"/>
              <w:rPr>
                <w:b/>
              </w:rPr>
            </w:pPr>
            <w:r>
              <w:rPr>
                <w:b/>
              </w:rPr>
              <w:t>9.</w:t>
            </w:r>
          </w:p>
        </w:tc>
        <w:tc>
          <w:tcPr>
            <w:tcW w:w="1715" w:type="dxa"/>
            <w:tcBorders/>
            <w:vAlign w:val="center"/>
          </w:tcPr>
          <w:p>
            <w:pPr>
              <w:pStyle w:val="TableContents"/>
              <w:bidi w:val="0"/>
              <w:spacing w:before="0" w:after="283"/>
              <w:jc w:val="both"/>
              <w:rPr>
                <w:b/>
              </w:rPr>
            </w:pPr>
            <w:r>
              <w:rPr>
                <w:b/>
              </w:rPr>
              <w:t>Long-term debt: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Old Xanadu’s long-term debt is comprised of the Government of Canada Strategic Innovation Fund (“SIF”) Loan, and the Government of Canada Federal Economic Development Agency (“FedDev”) Loan as follows:</w:t>
      </w:r>
    </w:p>
    <w:tbl>
      <w:tblPr>
        <w:tblW w:w="4103" w:type="dxa"/>
        <w:jc w:val="left"/>
        <w:tblInd w:w="0" w:type="dxa"/>
        <w:tblLayout w:type="fixed"/>
        <w:tblCellMar>
          <w:top w:w="0" w:type="dxa"/>
          <w:left w:w="0" w:type="dxa"/>
          <w:bottom w:w="0" w:type="dxa"/>
          <w:right w:w="0" w:type="dxa"/>
        </w:tblCellMar>
      </w:tblPr>
      <w:tblGrid>
        <w:gridCol w:w="1970"/>
        <w:gridCol w:w="60"/>
        <w:gridCol w:w="159"/>
        <w:gridCol w:w="772"/>
        <w:gridCol w:w="68"/>
        <w:gridCol w:w="68"/>
        <w:gridCol w:w="159"/>
        <w:gridCol w:w="772"/>
        <w:gridCol w:w="75"/>
      </w:tblGrid>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ind w:left="0" w:right="0" w:hanging="200"/>
              <w:jc w:val="left"/>
              <w:rPr/>
            </w:pPr>
            <w:r>
              <w:rPr/>
              <w:t> </w:t>
            </w:r>
          </w:p>
        </w:tc>
      </w:tr>
      <w:tr>
        <w:trPr/>
        <w:tc>
          <w:tcPr>
            <w:tcW w:w="1970" w:type="dxa"/>
            <w:tcBorders/>
            <w:shd w:fill="CCEEFF" w:val="clear"/>
            <w:vAlign w:val="center"/>
          </w:tcPr>
          <w:p>
            <w:pPr>
              <w:pStyle w:val="TableContents"/>
              <w:bidi w:val="0"/>
              <w:spacing w:before="0" w:after="283"/>
              <w:jc w:val="left"/>
              <w:rPr/>
            </w:pPr>
            <w:r>
              <w:rPr/>
              <w:t>SIF Loan</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772" w:type="dxa"/>
            <w:tcBorders/>
            <w:shd w:fill="CCEEFF" w:val="clear"/>
            <w:vAlign w:val="center"/>
          </w:tcPr>
          <w:p>
            <w:pPr>
              <w:pStyle w:val="TableContents"/>
              <w:bidi w:val="0"/>
              <w:spacing w:before="0" w:after="283"/>
              <w:jc w:val="right"/>
              <w:rPr/>
            </w:pPr>
            <w:r>
              <w:rPr/>
              <w:t>27,536</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772" w:type="dxa"/>
            <w:tcBorders/>
            <w:shd w:fill="CCEEFF" w:val="clear"/>
            <w:vAlign w:val="center"/>
          </w:tcPr>
          <w:p>
            <w:pPr>
              <w:pStyle w:val="TableContents"/>
              <w:bidi w:val="0"/>
              <w:spacing w:before="0" w:after="283"/>
              <w:jc w:val="right"/>
              <w:rPr/>
            </w:pPr>
            <w:r>
              <w:rPr/>
              <w:t>13,978</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1970" w:type="dxa"/>
            <w:tcBorders/>
            <w:shd w:fill="FFFFFF" w:val="clear"/>
            <w:vAlign w:val="center"/>
          </w:tcPr>
          <w:p>
            <w:pPr>
              <w:pStyle w:val="TableContents"/>
              <w:bidi w:val="0"/>
              <w:spacing w:before="0" w:after="283"/>
              <w:jc w:val="left"/>
              <w:rPr/>
            </w:pPr>
            <w:r>
              <w:rPr/>
              <w:t>FedDev Loan</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2" w:type="dxa"/>
            <w:tcBorders>
              <w:bottom w:val="single" w:sz="12" w:space="0" w:color="000000"/>
            </w:tcBorders>
            <w:shd w:fill="FFFFFF" w:val="clear"/>
            <w:tcMar>
              <w:bottom w:w="28" w:type="dxa"/>
            </w:tcMar>
            <w:vAlign w:val="center"/>
          </w:tcPr>
          <w:p>
            <w:pPr>
              <w:pStyle w:val="TableContents"/>
              <w:bidi w:val="0"/>
              <w:spacing w:before="0" w:after="283"/>
              <w:jc w:val="right"/>
              <w:rPr/>
            </w:pPr>
            <w:r>
              <w:rPr/>
              <w:t>2,462</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2" w:type="dxa"/>
            <w:tcBorders>
              <w:bottom w:val="single" w:sz="12" w:space="0" w:color="000000"/>
            </w:tcBorders>
            <w:shd w:fill="FFFFFF" w:val="clear"/>
            <w:tcMar>
              <w:bottom w:w="28" w:type="dxa"/>
            </w:tcMar>
            <w:vAlign w:val="center"/>
          </w:tcPr>
          <w:p>
            <w:pPr>
              <w:pStyle w:val="TableContents"/>
              <w:bidi w:val="0"/>
              <w:spacing w:before="0" w:after="283"/>
              <w:jc w:val="right"/>
              <w:rPr/>
            </w:pPr>
            <w:r>
              <w:rPr/>
              <w:t>2,031</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1970" w:type="dxa"/>
            <w:tcBorders/>
            <w:shd w:fill="CCEEFF" w:val="clear"/>
            <w:vAlign w:val="center"/>
          </w:tcPr>
          <w:p>
            <w:pPr>
              <w:pStyle w:val="TableContents"/>
              <w:bidi w:val="0"/>
              <w:spacing w:before="0" w:after="283"/>
              <w:jc w:val="left"/>
              <w:rPr/>
            </w:pPr>
            <w:r>
              <w:rPr/>
              <w:t>Total long-term debt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72" w:type="dxa"/>
            <w:tcBorders>
              <w:bottom w:val="double" w:sz="10" w:space="0" w:color="000000"/>
            </w:tcBorders>
            <w:shd w:fill="CCEEFF" w:val="clear"/>
            <w:tcMar>
              <w:bottom w:w="28" w:type="dxa"/>
            </w:tcMar>
            <w:vAlign w:val="center"/>
          </w:tcPr>
          <w:p>
            <w:pPr>
              <w:pStyle w:val="TableContents"/>
              <w:bidi w:val="0"/>
              <w:spacing w:before="0" w:after="283"/>
              <w:jc w:val="right"/>
              <w:rPr/>
            </w:pPr>
            <w:r>
              <w:rPr/>
              <w:t>29,998</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72" w:type="dxa"/>
            <w:tcBorders>
              <w:bottom w:val="double" w:sz="10" w:space="0" w:color="000000"/>
            </w:tcBorders>
            <w:shd w:fill="CCEEFF" w:val="clear"/>
            <w:tcMar>
              <w:bottom w:w="28" w:type="dxa"/>
            </w:tcMar>
            <w:vAlign w:val="center"/>
          </w:tcPr>
          <w:p>
            <w:pPr>
              <w:pStyle w:val="TableContents"/>
              <w:bidi w:val="0"/>
              <w:spacing w:before="0" w:after="283"/>
              <w:jc w:val="right"/>
              <w:rPr/>
            </w:pPr>
            <w:r>
              <w:rPr/>
              <w:t>16,009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1248" w:type="dxa"/>
        <w:jc w:val="left"/>
        <w:tblInd w:w="0" w:type="dxa"/>
        <w:tblLayout w:type="fixed"/>
        <w:tblCellMar>
          <w:top w:w="0" w:type="dxa"/>
          <w:left w:w="0" w:type="dxa"/>
          <w:bottom w:w="0" w:type="dxa"/>
          <w:right w:w="0" w:type="dxa"/>
        </w:tblCellMar>
      </w:tblPr>
      <w:tblGrid>
        <w:gridCol w:w="38"/>
        <w:gridCol w:w="275"/>
        <w:gridCol w:w="9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935" w:type="dxa"/>
            <w:tcBorders/>
            <w:vAlign w:val="center"/>
          </w:tcPr>
          <w:p>
            <w:pPr>
              <w:pStyle w:val="TableContents"/>
              <w:bidi w:val="0"/>
              <w:spacing w:before="0" w:after="283"/>
              <w:jc w:val="both"/>
              <w:rPr/>
            </w:pPr>
            <w:r>
              <w:rPr/>
              <w:t>SIF Loan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SIF Loan, SIF is committed to provide Old Xanadu contributions up to C$40,000 contingent on Old Xanadu incurring defined eligible expenditures. Contributions from SIF shall be used for the development of photonic-based, fault-tolerant quantum computers, including projects involving the adaptation of research findings for commercial applications, development of current products through the implementation of new or incremental technology, and development of process improvements which reduce the environmental footprint of current production. As of December 31, 2025 and 2024, Old Xanadu has received C$35,682 and C$19,214 in total funding from SIF,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F-60</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i w:val="false"/>
          <w:caps w:val="false"/>
          <w:smallCaps w:val="false"/>
          <w:sz w:val="20"/>
        </w:rPr>
        <w:br/>
        <w:t>Notes to the Consolidated Statements</w:t>
        <w:br/>
        <w:t>(In thousands, except for share and per share amounts)</w:t>
      </w:r>
    </w:p>
    <w:p>
      <w:pPr>
        <w:pStyle w:val="TextBody"/>
        <w:bidi w:val="0"/>
        <w:spacing w:before="0" w:after="0"/>
        <w:jc w:val="both"/>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215"/>
        <w:gridCol w:w="2390"/>
      </w:tblGrid>
      <w:tr>
        <w:trPr/>
        <w:tc>
          <w:tcPr>
            <w:tcW w:w="215" w:type="dxa"/>
            <w:tcBorders/>
            <w:vAlign w:val="center"/>
          </w:tcPr>
          <w:p>
            <w:pPr>
              <w:pStyle w:val="TableContents"/>
              <w:bidi w:val="0"/>
              <w:spacing w:before="0" w:after="283"/>
              <w:jc w:val="left"/>
              <w:rPr>
                <w:b/>
              </w:rPr>
            </w:pPr>
            <w:r>
              <w:rPr>
                <w:b/>
              </w:rPr>
              <w:t>9.</w:t>
            </w:r>
          </w:p>
        </w:tc>
        <w:tc>
          <w:tcPr>
            <w:tcW w:w="2390" w:type="dxa"/>
            <w:tcBorders/>
            <w:vAlign w:val="center"/>
          </w:tcPr>
          <w:p>
            <w:pPr>
              <w:pStyle w:val="TableContents"/>
              <w:bidi w:val="0"/>
              <w:spacing w:before="0" w:after="283"/>
              <w:jc w:val="both"/>
              <w:rPr/>
            </w:pPr>
            <w:r>
              <w:rPr>
                <w:b/>
              </w:rPr>
              <w:t>Long-term debt:</w:t>
            </w:r>
            <w:r>
              <w:rPr/>
              <w:t xml:space="preserve"> (cont.)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and interest amounts to be repaid under the SIF Loan are determined using a revenue-based formula and are capped at 150% of the principal amount. Repayments are due in up to 20 annual installments, commencing on April 30, 2028. If the total of the 20 revenue-based annual installments is less than the principal amount, any remaining repayment obligation will be forgiven. While revenue projections are inherently uncertain given the early stage of the quantum industry, Old Xanadu’s interest calculation anticipates repayments commencing as early as 2028 and repayment of the full principal amount, at the 150% level, by the end of the 20 year repayment installment period.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SIF Loan includes certain covenants requiring Old Xanadu to support high-skilled jobs in Canada, collaborate with Canadian institutions and small and medium-sized Canadian-based enterprises, and invest in R&amp;D within Canada. Repayments of the SIF Loan can also be triggered upon default on loan covenants in the agreement, termination of the agreement, or upon a change of control that has not been approved by the Government of Canada. Old Xanadu determined the Business Combination did not constitute a change in control as defined in the SIF Loan and no approvals were required by the Government of Canada. As of December 31, 2025 and 2024, Old Xanadu was in compliance with all events that would trigger default or termination of the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Old Xanadu accounts for the SIF Loan as a liability on Old Xanadu’s consolidated balance sheets in accordance with ASC 470-10-25, </w:t>
      </w:r>
      <w:r>
        <w:rPr>
          <w:rFonts w:ascii="Times New Roman;Times;Serif" w:hAnsi="Times New Roman;Times;Serif"/>
          <w:b w:val="false"/>
          <w:i/>
          <w:caps w:val="false"/>
          <w:smallCaps w:val="false"/>
          <w:sz w:val="20"/>
        </w:rPr>
        <w:t>Sales of Future Revenues</w:t>
      </w:r>
      <w:r>
        <w:rPr>
          <w:rFonts w:ascii="Times New Roman;Times;Serif" w:hAnsi="Times New Roman;Times;Serif"/>
          <w:b w:val="false"/>
          <w:i w:val="false"/>
          <w:caps w:val="false"/>
          <w:smallCaps w:val="false"/>
          <w:sz w:val="20"/>
        </w:rPr>
        <w:t>. The SIF Loan is initially measured at face value and is subsequently amortized using the effective interest method, which includes accrued interest expense over the estimated term of the SIF Loan. The amortization schedule is based on projected cash flows derived from Old Xanadu’s long-term revenue forecast. Subsequent changes in forecasted cash flows will be accounted for under the retrospective method, which entails a new effective interest rate being computed each period based on the original proceeds received, actual cash flows to date, and the revised estimate of remaining cash flows. The new discount rate is then used to adjust the carrying value of the debt to the present value of the revised cash flows, discounted at the new effective interest rate. The offset is recognized in interest income (expense), net. As the SIF Loan is originated through a government program, a market rate of interest is not imputed in accordance with the scope limitations of ASC 835.</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Old Xanadu determined a weighted average effective interest rate of 4.69% and 5.52%, respectively, based on the most recent revenue projections at each reporting date. During the years ended December 31, 2025 and 2024, Old Xanadu recognized $897 and $511 of interest expense, respectively, related to the SIF Loan, inclusive of foreign exchange, respectively, within interest income (expense), net in the consolidated statements of operations and comprehensive loss. This included $182 of gains and $24 of losses related to retrospective method adjustments to the accrued interest portion of the SIF Loan during the years ended December 31, 2025 and 2024,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the carrying value of the SIF Loan:</w:t>
      </w:r>
    </w:p>
    <w:p>
      <w:pPr>
        <w:pStyle w:val="TextBody"/>
        <w:bidi w:val="0"/>
        <w:spacing w:before="0" w:after="0"/>
        <w:jc w:val="both"/>
        <w:rPr>
          <w:caps w:val="false"/>
          <w:smallCaps w:val="false"/>
        </w:rPr>
      </w:pPr>
      <w:r>
        <w:rPr>
          <w:caps w:val="false"/>
          <w:smallCaps w:val="false"/>
        </w:rPr>
        <w:t> </w:t>
      </w:r>
    </w:p>
    <w:tbl>
      <w:tblPr>
        <w:tblW w:w="7050" w:type="dxa"/>
        <w:jc w:val="left"/>
        <w:tblInd w:w="0" w:type="dxa"/>
        <w:tblLayout w:type="fixed"/>
        <w:tblCellMar>
          <w:top w:w="0" w:type="dxa"/>
          <w:left w:w="0" w:type="dxa"/>
          <w:bottom w:w="0" w:type="dxa"/>
          <w:right w:w="0" w:type="dxa"/>
        </w:tblCellMar>
      </w:tblPr>
      <w:tblGrid>
        <w:gridCol w:w="6095"/>
        <w:gridCol w:w="60"/>
        <w:gridCol w:w="140"/>
        <w:gridCol w:w="680"/>
        <w:gridCol w:w="75"/>
      </w:tblGrid>
      <w:tr>
        <w:trPr/>
        <w:tc>
          <w:tcPr>
            <w:tcW w:w="6095" w:type="dxa"/>
            <w:tcBorders/>
            <w:shd w:fill="CCEEFF" w:val="clear"/>
            <w:vAlign w:val="center"/>
          </w:tcPr>
          <w:p>
            <w:pPr>
              <w:pStyle w:val="TableContents"/>
              <w:bidi w:val="0"/>
              <w:spacing w:before="0" w:after="283"/>
              <w:ind w:left="0" w:right="0" w:hanging="200"/>
              <w:jc w:val="left"/>
              <w:rPr/>
            </w:pPr>
            <w:r>
              <w:rPr/>
              <w:t>Balance as of December 31,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6,413</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6095" w:type="dxa"/>
            <w:tcBorders/>
            <w:shd w:fill="FFFFFF" w:val="clear"/>
            <w:vAlign w:val="center"/>
          </w:tcPr>
          <w:p>
            <w:pPr>
              <w:pStyle w:val="TableContents"/>
              <w:bidi w:val="0"/>
              <w:spacing w:before="0" w:after="283"/>
              <w:jc w:val="left"/>
              <w:rPr/>
            </w:pPr>
            <w:r>
              <w:rPr/>
              <w:t>Contributions received, net of changes in foreign exchange rates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7,054</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6095" w:type="dxa"/>
            <w:tcBorders/>
            <w:shd w:fill="CCEEFF" w:val="clear"/>
            <w:vAlign w:val="center"/>
          </w:tcPr>
          <w:p>
            <w:pPr>
              <w:pStyle w:val="TableContents"/>
              <w:bidi w:val="0"/>
              <w:spacing w:before="0" w:after="283"/>
              <w:jc w:val="left"/>
              <w:rPr/>
            </w:pPr>
            <w:r>
              <w:rPr/>
              <w:t>Interest expense, net of changes in foreign exchange rates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511</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6095" w:type="dxa"/>
            <w:tcBorders/>
            <w:shd w:fill="FFFFFF" w:val="clear"/>
            <w:vAlign w:val="center"/>
          </w:tcPr>
          <w:p>
            <w:pPr>
              <w:pStyle w:val="TableContents"/>
              <w:bidi w:val="0"/>
              <w:spacing w:before="0" w:after="283"/>
              <w:jc w:val="left"/>
              <w:rPr/>
            </w:pPr>
            <w:r>
              <w:rPr/>
              <w:t>Balance as of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13,978</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6095" w:type="dxa"/>
            <w:tcBorders/>
            <w:shd w:fill="CCEEFF" w:val="clear"/>
            <w:vAlign w:val="center"/>
          </w:tcPr>
          <w:p>
            <w:pPr>
              <w:pStyle w:val="TableContents"/>
              <w:bidi w:val="0"/>
              <w:spacing w:before="0" w:after="283"/>
              <w:jc w:val="left"/>
              <w:rPr/>
            </w:pPr>
            <w:r>
              <w:rPr/>
              <w:t>Contributions received, net of changes in foreign exchange rates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12,661</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6095" w:type="dxa"/>
            <w:tcBorders/>
            <w:shd w:fill="FFFFFF" w:val="clear"/>
            <w:vAlign w:val="center"/>
          </w:tcPr>
          <w:p>
            <w:pPr>
              <w:pStyle w:val="TableContents"/>
              <w:bidi w:val="0"/>
              <w:spacing w:before="0" w:after="283"/>
              <w:jc w:val="left"/>
              <w:rPr/>
            </w:pPr>
            <w:r>
              <w:rPr/>
              <w:t>Interest expense, net of changes in foreign exchange rates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897</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6095" w:type="dxa"/>
            <w:tcBorders/>
            <w:shd w:fill="CCEEFF" w:val="clear"/>
            <w:vAlign w:val="center"/>
          </w:tcPr>
          <w:p>
            <w:pPr>
              <w:pStyle w:val="TableContents"/>
              <w:bidi w:val="0"/>
              <w:spacing w:before="0" w:after="283"/>
              <w:jc w:val="left"/>
              <w:rPr/>
            </w:pPr>
            <w:r>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27,536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F-61</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i w:val="false"/>
          <w:caps w:val="false"/>
          <w:smallCaps w:val="false"/>
          <w:sz w:val="20"/>
        </w:rPr>
        <w:br/>
        <w:t>Notes to the Consolidated Statements</w:t>
        <w:br/>
        <w:t>(In thousands, except for share and per share amounts)</w:t>
      </w:r>
    </w:p>
    <w:p>
      <w:pPr>
        <w:pStyle w:val="TextBody"/>
        <w:bidi w:val="0"/>
        <w:spacing w:before="0" w:after="0"/>
        <w:jc w:val="both"/>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215"/>
        <w:gridCol w:w="2390"/>
      </w:tblGrid>
      <w:tr>
        <w:trPr/>
        <w:tc>
          <w:tcPr>
            <w:tcW w:w="215" w:type="dxa"/>
            <w:tcBorders/>
            <w:vAlign w:val="center"/>
          </w:tcPr>
          <w:p>
            <w:pPr>
              <w:pStyle w:val="TableContents"/>
              <w:bidi w:val="0"/>
              <w:spacing w:before="0" w:after="283"/>
              <w:jc w:val="left"/>
              <w:rPr>
                <w:b/>
              </w:rPr>
            </w:pPr>
            <w:r>
              <w:rPr>
                <w:b/>
              </w:rPr>
              <w:t>9.</w:t>
            </w:r>
          </w:p>
        </w:tc>
        <w:tc>
          <w:tcPr>
            <w:tcW w:w="2390" w:type="dxa"/>
            <w:tcBorders/>
            <w:vAlign w:val="center"/>
          </w:tcPr>
          <w:p>
            <w:pPr>
              <w:pStyle w:val="TableContents"/>
              <w:bidi w:val="0"/>
              <w:spacing w:before="0" w:after="283"/>
              <w:jc w:val="both"/>
              <w:rPr/>
            </w:pPr>
            <w:r>
              <w:rPr>
                <w:b/>
              </w:rPr>
              <w:t>Long-term debt:</w:t>
            </w:r>
            <w:r>
              <w:rPr/>
              <w:t xml:space="preserve"> (cont.)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Old Xanadu has classified the SIF Loan as non-current as repayments will not commence within the 12 months following the balance sheet date.</w:t>
      </w:r>
    </w:p>
    <w:p>
      <w:pPr>
        <w:pStyle w:val="TextBody"/>
        <w:bidi w:val="0"/>
        <w:spacing w:before="0" w:after="0"/>
        <w:jc w:val="both"/>
        <w:rPr>
          <w:caps w:val="false"/>
          <w:smallCaps w:val="false"/>
        </w:rPr>
      </w:pPr>
      <w:r>
        <w:rPr>
          <w:caps w:val="false"/>
          <w:smallCaps w:val="false"/>
        </w:rPr>
        <w:t> </w:t>
      </w:r>
    </w:p>
    <w:tbl>
      <w:tblPr>
        <w:tblW w:w="1683" w:type="dxa"/>
        <w:jc w:val="left"/>
        <w:tblInd w:w="0" w:type="dxa"/>
        <w:tblLayout w:type="fixed"/>
        <w:tblCellMar>
          <w:top w:w="0" w:type="dxa"/>
          <w:left w:w="0" w:type="dxa"/>
          <w:bottom w:w="0" w:type="dxa"/>
          <w:right w:w="0" w:type="dxa"/>
        </w:tblCellMar>
      </w:tblPr>
      <w:tblGrid>
        <w:gridCol w:w="38"/>
        <w:gridCol w:w="290"/>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1355" w:type="dxa"/>
            <w:tcBorders/>
            <w:vAlign w:val="center"/>
          </w:tcPr>
          <w:p>
            <w:pPr>
              <w:pStyle w:val="TableContents"/>
              <w:bidi w:val="0"/>
              <w:spacing w:before="0" w:after="283"/>
              <w:jc w:val="both"/>
              <w:rPr/>
            </w:pPr>
            <w:r>
              <w:rPr/>
              <w:t>FedDev Loan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FedDev Loan, an aggregate principal amount of C$3,750 is made available to Old Xanadu based on Old Xanadu’s incurrence of eligible expenditures. Proceeds from the FedDev Loan shall be used to advance and commercialize Old Xanadu’s quantum products. As of December 31, 2025 and 2024, Old Xanadu had received C$3,375 and C$2,920, respectively, in gross proceeds from the FedDev Loan.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FedDev Loan is repayable in 60 monthly installments commencing on April 1, 2027. As the FedDev Loan originated through a government program with regulated interest, a market rate of interest is not imputed in accordance with the scope exclusions of ASC 835.</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FedDev Loan includes certain event of defaults, including when Old Xanadu fails to meet the objectives or milestones outlined in the agreement. Repayment of the FedDev Loan can also be triggered upon the occurrence of an event of default stated in the agreement. As of December 31, 2025, Old Xanadu is not aware of any events that would trigger default of the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the carrying value of the FedDev Loan:</w:t>
      </w:r>
    </w:p>
    <w:p>
      <w:pPr>
        <w:pStyle w:val="TextBody"/>
        <w:bidi w:val="0"/>
        <w:spacing w:before="0" w:after="0"/>
        <w:jc w:val="both"/>
        <w:rPr>
          <w:caps w:val="false"/>
          <w:smallCaps w:val="false"/>
        </w:rPr>
      </w:pPr>
      <w:r>
        <w:rPr>
          <w:caps w:val="false"/>
          <w:smallCaps w:val="false"/>
        </w:rPr>
        <w:t> </w:t>
      </w:r>
    </w:p>
    <w:tbl>
      <w:tblPr>
        <w:tblW w:w="6930" w:type="dxa"/>
        <w:jc w:val="left"/>
        <w:tblInd w:w="0" w:type="dxa"/>
        <w:tblLayout w:type="fixed"/>
        <w:tblCellMar>
          <w:top w:w="0" w:type="dxa"/>
          <w:left w:w="0" w:type="dxa"/>
          <w:bottom w:w="0" w:type="dxa"/>
          <w:right w:w="0" w:type="dxa"/>
        </w:tblCellMar>
      </w:tblPr>
      <w:tblGrid>
        <w:gridCol w:w="6095"/>
        <w:gridCol w:w="60"/>
        <w:gridCol w:w="140"/>
        <w:gridCol w:w="560"/>
        <w:gridCol w:w="75"/>
      </w:tblGrid>
      <w:tr>
        <w:trPr/>
        <w:tc>
          <w:tcPr>
            <w:tcW w:w="6095" w:type="dxa"/>
            <w:tcBorders/>
            <w:shd w:fill="CCEEFF" w:val="clear"/>
            <w:vAlign w:val="center"/>
          </w:tcPr>
          <w:p>
            <w:pPr>
              <w:pStyle w:val="TableContents"/>
              <w:bidi w:val="0"/>
              <w:spacing w:before="0" w:after="283"/>
              <w:ind w:left="0" w:right="0" w:hanging="200"/>
              <w:jc w:val="left"/>
              <w:rPr/>
            </w:pPr>
            <w:r>
              <w:rPr/>
              <w:t>Balance as of December 31,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395</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6095" w:type="dxa"/>
            <w:tcBorders/>
            <w:shd w:fill="FFFFFF" w:val="clear"/>
            <w:vAlign w:val="center"/>
          </w:tcPr>
          <w:p>
            <w:pPr>
              <w:pStyle w:val="TableContents"/>
              <w:bidi w:val="0"/>
              <w:spacing w:before="0" w:after="283"/>
              <w:jc w:val="left"/>
              <w:rPr/>
            </w:pPr>
            <w:r>
              <w:rPr/>
              <w:t>Contributions received, net of changes in foreign exchange rates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1,636</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6095" w:type="dxa"/>
            <w:tcBorders/>
            <w:shd w:fill="CCEEFF" w:val="clear"/>
            <w:vAlign w:val="center"/>
          </w:tcPr>
          <w:p>
            <w:pPr>
              <w:pStyle w:val="TableContents"/>
              <w:bidi w:val="0"/>
              <w:spacing w:before="0" w:after="283"/>
              <w:jc w:val="left"/>
              <w:rPr/>
            </w:pPr>
            <w:r>
              <w:rPr/>
              <w:t>Balance as of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2,031</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6095" w:type="dxa"/>
            <w:tcBorders/>
            <w:shd w:fill="FFFFFF" w:val="clear"/>
            <w:vAlign w:val="center"/>
          </w:tcPr>
          <w:p>
            <w:pPr>
              <w:pStyle w:val="TableContents"/>
              <w:bidi w:val="0"/>
              <w:spacing w:before="0" w:after="283"/>
              <w:jc w:val="left"/>
              <w:rPr/>
            </w:pPr>
            <w:r>
              <w:rPr/>
              <w:t>Contributions received, net of changes in foreign exchange rates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431</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6095" w:type="dxa"/>
            <w:tcBorders/>
            <w:shd w:fill="CCEEFF" w:val="clear"/>
            <w:vAlign w:val="center"/>
          </w:tcPr>
          <w:p>
            <w:pPr>
              <w:pStyle w:val="TableContents"/>
              <w:bidi w:val="0"/>
              <w:spacing w:before="0" w:after="283"/>
              <w:jc w:val="left"/>
              <w:rPr/>
            </w:pPr>
            <w:r>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2,462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Old Xanadu has classified the FedDev Loan as non-current as repayments will not commence within the 12 months following the balance sheet date.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expected repayment schedule of the FedDev Loan.</w:t>
      </w:r>
    </w:p>
    <w:p>
      <w:pPr>
        <w:pStyle w:val="TextBody"/>
        <w:bidi w:val="0"/>
        <w:spacing w:before="0" w:after="0"/>
        <w:jc w:val="both"/>
        <w:rPr>
          <w:caps w:val="false"/>
          <w:smallCaps w:val="false"/>
        </w:rPr>
      </w:pPr>
      <w:r>
        <w:rPr>
          <w:caps w:val="false"/>
          <w:smallCaps w:val="false"/>
        </w:rPr>
        <w:t> </w:t>
      </w:r>
    </w:p>
    <w:tbl>
      <w:tblPr>
        <w:tblW w:w="2780" w:type="dxa"/>
        <w:jc w:val="left"/>
        <w:tblInd w:w="0" w:type="dxa"/>
        <w:tblLayout w:type="fixed"/>
        <w:tblCellMar>
          <w:top w:w="0" w:type="dxa"/>
          <w:left w:w="0" w:type="dxa"/>
          <w:bottom w:w="0" w:type="dxa"/>
          <w:right w:w="0" w:type="dxa"/>
        </w:tblCellMar>
      </w:tblPr>
      <w:tblGrid>
        <w:gridCol w:w="1865"/>
        <w:gridCol w:w="140"/>
        <w:gridCol w:w="140"/>
        <w:gridCol w:w="560"/>
        <w:gridCol w:w="75"/>
      </w:tblGrid>
      <w:tr>
        <w:trPr/>
        <w:tc>
          <w:tcPr>
            <w:tcW w:w="1865" w:type="dxa"/>
            <w:tcBorders/>
            <w:shd w:fill="CCEEFF" w:val="clear"/>
            <w:vAlign w:val="center"/>
          </w:tcPr>
          <w:p>
            <w:pPr>
              <w:pStyle w:val="TableContents"/>
              <w:bidi w:val="0"/>
              <w:spacing w:before="0" w:after="283"/>
              <w:jc w:val="left"/>
              <w:rPr/>
            </w:pPr>
            <w:r>
              <w:rPr/>
              <w:t>2026</w:t>
            </w:r>
          </w:p>
        </w:tc>
        <w:tc>
          <w:tcPr>
            <w:tcW w:w="140" w:type="dxa"/>
            <w:tcBorders/>
            <w:shd w:fill="CCEEFF" w:val="clear"/>
            <w:vAlign w:val="center"/>
          </w:tcPr>
          <w:p>
            <w:pPr>
              <w:pStyle w:val="TableContents"/>
              <w:bidi w:val="0"/>
              <w:spacing w:before="0" w:after="283"/>
              <w:jc w:val="left"/>
              <w:rPr/>
            </w:pPr>
            <w:r>
              <w:rPr/>
              <w:t>$</w:t>
            </w:r>
          </w:p>
        </w:tc>
        <w:tc>
          <w:tcPr>
            <w:tcW w:w="700" w:type="dxa"/>
            <w:gridSpan w:val="2"/>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1865" w:type="dxa"/>
            <w:tcBorders/>
            <w:shd w:fill="FFFFFF" w:val="clear"/>
            <w:vAlign w:val="center"/>
          </w:tcPr>
          <w:p>
            <w:pPr>
              <w:pStyle w:val="TableContents"/>
              <w:bidi w:val="0"/>
              <w:spacing w:before="0" w:after="283"/>
              <w:jc w:val="left"/>
              <w:rPr/>
            </w:pPr>
            <w:r>
              <w:rPr/>
              <w:t>2027</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364</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1865" w:type="dxa"/>
            <w:tcBorders/>
            <w:shd w:fill="CCEEFF" w:val="clear"/>
            <w:vAlign w:val="center"/>
          </w:tcPr>
          <w:p>
            <w:pPr>
              <w:pStyle w:val="TableContents"/>
              <w:bidi w:val="0"/>
              <w:spacing w:before="0" w:after="283"/>
              <w:jc w:val="left"/>
              <w:rPr/>
            </w:pPr>
            <w:r>
              <w:rPr/>
              <w:t>2028</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547</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1865" w:type="dxa"/>
            <w:tcBorders/>
            <w:shd w:fill="FFFFFF" w:val="clear"/>
            <w:vAlign w:val="center"/>
          </w:tcPr>
          <w:p>
            <w:pPr>
              <w:pStyle w:val="TableContents"/>
              <w:bidi w:val="0"/>
              <w:spacing w:before="0" w:after="283"/>
              <w:jc w:val="left"/>
              <w:rPr/>
            </w:pPr>
            <w:r>
              <w:rPr/>
              <w:t>2029</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547</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1865" w:type="dxa"/>
            <w:tcBorders/>
            <w:shd w:fill="CCEEFF" w:val="clear"/>
            <w:vAlign w:val="center"/>
          </w:tcPr>
          <w:p>
            <w:pPr>
              <w:pStyle w:val="TableContents"/>
              <w:bidi w:val="0"/>
              <w:spacing w:before="0" w:after="283"/>
              <w:jc w:val="left"/>
              <w:rPr/>
            </w:pPr>
            <w:r>
              <w:rPr/>
              <w:t>2030</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547</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1865" w:type="dxa"/>
            <w:tcBorders/>
            <w:shd w:fill="FFFFFF" w:val="clear"/>
            <w:vAlign w:val="center"/>
          </w:tcPr>
          <w:p>
            <w:pPr>
              <w:pStyle w:val="TableContents"/>
              <w:bidi w:val="0"/>
              <w:spacing w:before="0" w:after="283"/>
              <w:jc w:val="left"/>
              <w:rPr/>
            </w:pPr>
            <w:r>
              <w:rPr/>
              <w:t>2031 and thereafter</w:t>
            </w:r>
          </w:p>
        </w:tc>
        <w:tc>
          <w:tcPr>
            <w:tcW w:w="14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732</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1865" w:type="dxa"/>
            <w:tcBorders/>
            <w:shd w:fill="CCEEFF" w:val="clear"/>
            <w:vAlign w:val="center"/>
          </w:tcPr>
          <w:p>
            <w:pPr>
              <w:pStyle w:val="TableContents"/>
              <w:bidi w:val="0"/>
              <w:spacing w:before="0" w:after="283"/>
              <w:jc w:val="left"/>
              <w:rPr/>
            </w:pPr>
            <w:r>
              <w:rPr/>
              <w:t>Total repayments</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2,737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335"/>
        <w:gridCol w:w="1955"/>
      </w:tblGrid>
      <w:tr>
        <w:trPr/>
        <w:tc>
          <w:tcPr>
            <w:tcW w:w="335" w:type="dxa"/>
            <w:tcBorders/>
            <w:vAlign w:val="center"/>
          </w:tcPr>
          <w:p>
            <w:pPr>
              <w:pStyle w:val="TableContents"/>
              <w:bidi w:val="0"/>
              <w:spacing w:before="0" w:after="283"/>
              <w:jc w:val="left"/>
              <w:rPr>
                <w:b/>
              </w:rPr>
            </w:pPr>
            <w:r>
              <w:rPr>
                <w:b/>
              </w:rPr>
              <w:t>10.</w:t>
            </w:r>
          </w:p>
        </w:tc>
        <w:tc>
          <w:tcPr>
            <w:tcW w:w="1955" w:type="dxa"/>
            <w:tcBorders/>
            <w:vAlign w:val="center"/>
          </w:tcPr>
          <w:p>
            <w:pPr>
              <w:pStyle w:val="TableContents"/>
              <w:bidi w:val="0"/>
              <w:spacing w:before="0" w:after="283"/>
              <w:jc w:val="both"/>
              <w:rPr>
                <w:b/>
              </w:rPr>
            </w:pPr>
            <w:r>
              <w:rPr>
                <w:b/>
              </w:rPr>
              <w:t>Warrant liabilities: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Old Xanadu’s warrant liabilities are comprised of the SFTrust Warrants and RBC Warrants (each, as defined below) as follows:</w:t>
      </w:r>
    </w:p>
    <w:p>
      <w:pPr>
        <w:pStyle w:val="TextBody"/>
        <w:bidi w:val="0"/>
        <w:spacing w:before="0" w:after="0"/>
        <w:ind w:left="360" w:right="0" w:hanging="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2210"/>
        <w:gridCol w:w="60"/>
        <w:gridCol w:w="140"/>
        <w:gridCol w:w="560"/>
        <w:gridCol w:w="60"/>
        <w:gridCol w:w="60"/>
        <w:gridCol w:w="140"/>
        <w:gridCol w:w="380"/>
        <w:gridCol w:w="75"/>
      </w:tblGrid>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ind w:left="0" w:right="0" w:hanging="200"/>
              <w:jc w:val="left"/>
              <w:rPr/>
            </w:pPr>
            <w:r>
              <w:rPr/>
              <w:t> </w:t>
            </w:r>
          </w:p>
        </w:tc>
      </w:tr>
      <w:tr>
        <w:trPr/>
        <w:tc>
          <w:tcPr>
            <w:tcW w:w="2210" w:type="dxa"/>
            <w:tcBorders/>
            <w:shd w:fill="CCEEFF" w:val="clear"/>
            <w:vAlign w:val="center"/>
          </w:tcPr>
          <w:p>
            <w:pPr>
              <w:pStyle w:val="TableContents"/>
              <w:bidi w:val="0"/>
              <w:spacing w:before="0" w:after="283"/>
              <w:jc w:val="left"/>
              <w:rPr/>
            </w:pPr>
            <w:r>
              <w:rPr/>
              <w:t>SFTrust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915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141</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210" w:type="dxa"/>
            <w:tcBorders/>
            <w:shd w:fill="FFFFFF" w:val="clear"/>
            <w:vAlign w:val="center"/>
          </w:tcPr>
          <w:p>
            <w:pPr>
              <w:pStyle w:val="TableContents"/>
              <w:bidi w:val="0"/>
              <w:spacing w:before="0" w:after="283"/>
              <w:jc w:val="left"/>
              <w:rPr/>
            </w:pPr>
            <w:r>
              <w:rPr/>
              <w:t>RBC Warrants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959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FFFFFF" w:val="clear"/>
            <w:tcMar>
              <w:bottom w:w="28" w:type="dxa"/>
            </w:tcMar>
            <w:vAlign w:val="center"/>
          </w:tcPr>
          <w:p>
            <w:pPr>
              <w:pStyle w:val="TableContents"/>
              <w:bidi w:val="0"/>
              <w:spacing w:before="0" w:after="283"/>
              <w:jc w:val="right"/>
              <w:rPr/>
            </w:pPr>
            <w:r>
              <w:rPr/>
              <w:t>117</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210" w:type="dxa"/>
            <w:tcBorders/>
            <w:shd w:fill="CCEEFF" w:val="clear"/>
            <w:vAlign w:val="center"/>
          </w:tcPr>
          <w:p>
            <w:pPr>
              <w:pStyle w:val="TableContents"/>
              <w:bidi w:val="0"/>
              <w:spacing w:before="0" w:after="283"/>
              <w:jc w:val="left"/>
              <w:rPr/>
            </w:pPr>
            <w:r>
              <w:rPr/>
              <w:t>Total warrant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1,874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380" w:type="dxa"/>
            <w:tcBorders>
              <w:bottom w:val="double" w:sz="10" w:space="0" w:color="000000"/>
            </w:tcBorders>
            <w:shd w:fill="CCEEFF" w:val="clear"/>
            <w:tcMar>
              <w:bottom w:w="28" w:type="dxa"/>
            </w:tcMar>
            <w:vAlign w:val="center"/>
          </w:tcPr>
          <w:p>
            <w:pPr>
              <w:pStyle w:val="TableContents"/>
              <w:bidi w:val="0"/>
              <w:spacing w:before="0" w:after="283"/>
              <w:jc w:val="right"/>
              <w:rPr/>
            </w:pPr>
            <w:r>
              <w:rPr/>
              <w:t>258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i w:val="false"/>
          <w:caps w:val="false"/>
          <w:smallCaps w:val="false"/>
          <w:sz w:val="20"/>
        </w:rPr>
        <w:br/>
        <w:t>Notes to the Consolidated Statements</w:t>
        <w:br/>
        <w:t>(In thousands, except for share and per share amounts)</w:t>
      </w:r>
    </w:p>
    <w:p>
      <w:pPr>
        <w:pStyle w:val="TextBody"/>
        <w:bidi w:val="0"/>
        <w:spacing w:before="0" w:after="0"/>
        <w:jc w:val="both"/>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335"/>
        <w:gridCol w:w="2630"/>
      </w:tblGrid>
      <w:tr>
        <w:trPr/>
        <w:tc>
          <w:tcPr>
            <w:tcW w:w="335" w:type="dxa"/>
            <w:tcBorders/>
            <w:vAlign w:val="center"/>
          </w:tcPr>
          <w:p>
            <w:pPr>
              <w:pStyle w:val="TableContents"/>
              <w:bidi w:val="0"/>
              <w:spacing w:before="0" w:after="283"/>
              <w:jc w:val="left"/>
              <w:rPr>
                <w:b/>
              </w:rPr>
            </w:pPr>
            <w:r>
              <w:rPr>
                <w:b/>
              </w:rPr>
              <w:t>10.</w:t>
            </w:r>
          </w:p>
        </w:tc>
        <w:tc>
          <w:tcPr>
            <w:tcW w:w="2630" w:type="dxa"/>
            <w:tcBorders/>
            <w:vAlign w:val="center"/>
          </w:tcPr>
          <w:p>
            <w:pPr>
              <w:pStyle w:val="TableContents"/>
              <w:bidi w:val="0"/>
              <w:spacing w:before="0" w:after="283"/>
              <w:jc w:val="both"/>
              <w:rPr/>
            </w:pPr>
            <w:r>
              <w:rPr>
                <w:b/>
              </w:rPr>
              <w:t>Warrant liabilities:</w:t>
            </w:r>
            <w:r>
              <w:rPr/>
              <w:t xml:space="preserve"> (cont.)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Old Xanadu’s warrant liabilities is estimated using a Black-Scholes option pricing model. Inherent in a Black-Scholes option pricing model are assumptions related to the fair value of the underlying common shares, expected stock-price volatility, expected term, risk-free interest rate and dividend yield.</w:t>
      </w:r>
    </w:p>
    <w:p>
      <w:pPr>
        <w:pStyle w:val="TextBody"/>
        <w:bidi w:val="0"/>
        <w:spacing w:before="0" w:after="0"/>
        <w:jc w:val="both"/>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75"/>
        <w:gridCol w:w="275"/>
        <w:gridCol w:w="288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2885" w:type="dxa"/>
            <w:tcBorders/>
            <w:vAlign w:val="center"/>
          </w:tcPr>
          <w:p>
            <w:pPr>
              <w:pStyle w:val="TableContents"/>
              <w:bidi w:val="0"/>
              <w:spacing w:before="0" w:after="283"/>
              <w:jc w:val="both"/>
              <w:rPr/>
            </w:pPr>
            <w:r>
              <w:rPr/>
              <w:t>Silicon Valley Bank warrants: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2018, Silicon Valley Bank was issued 34,000 warrants. All 34,000 warrants issued have an exercise price of C$0.29 per share and a 10-year term from their original issuance. The fair value of the SFTrust warrants on their respective grant dates were recognized within additional paid-in capital with an offset to debt issuance costs.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 2021 amendment, Silicon Valley Bank was issued warrants to purchase 24,164 voting common shares representing 0.1% of the fully diluted shares, post series B financing, on the same terms and conditions as established for other common shareholders. Half of the warrants vested immediately upon entering into the amendment with the other half were contingent upon the draw of the Silicon Valley Bank term loan (“SVB Term Loan”) exceeding $5,000. All 12,082 vested warrants have an exercise price of $1.69 per share and a 12-year term from their original issuance. The warrants (collectively, the “SFTrust Warrants”) are recognized as a current liability on the consolidated balance sheets and are measured at fair value of $915 and $141 as of December 31, 2025 and 2024, respectively. The remaining 12,082 warrants have expired because Old Xanadu did not draw more than $5,000 of the SVB Term Loan prior to its full repayment and extinguishment on April 30, 2023.</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both December 31, 2025 and 2024, no warrants were exercised, and 46,082 warrants were issued and outstanding.</w:t>
      </w:r>
    </w:p>
    <w:p>
      <w:pPr>
        <w:pStyle w:val="TextBody"/>
        <w:bidi w:val="0"/>
        <w:spacing w:before="0" w:after="0"/>
        <w:jc w:val="both"/>
        <w:rPr>
          <w:caps w:val="false"/>
          <w:smallCaps w:val="false"/>
        </w:rPr>
      </w:pPr>
      <w:r>
        <w:rPr>
          <w:caps w:val="false"/>
          <w:smallCaps w:val="false"/>
        </w:rPr>
        <w:t> </w:t>
      </w:r>
    </w:p>
    <w:tbl>
      <w:tblPr>
        <w:tblW w:w="1833" w:type="dxa"/>
        <w:jc w:val="left"/>
        <w:tblInd w:w="0" w:type="dxa"/>
        <w:tblLayout w:type="fixed"/>
        <w:tblCellMar>
          <w:top w:w="0" w:type="dxa"/>
          <w:left w:w="0" w:type="dxa"/>
          <w:bottom w:w="0" w:type="dxa"/>
          <w:right w:w="0" w:type="dxa"/>
        </w:tblCellMar>
      </w:tblPr>
      <w:tblGrid>
        <w:gridCol w:w="38"/>
        <w:gridCol w:w="290"/>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1505" w:type="dxa"/>
            <w:tcBorders/>
            <w:vAlign w:val="center"/>
          </w:tcPr>
          <w:p>
            <w:pPr>
              <w:pStyle w:val="TableContents"/>
              <w:bidi w:val="0"/>
              <w:spacing w:before="0" w:after="283"/>
              <w:jc w:val="both"/>
              <w:rPr/>
            </w:pPr>
            <w:r>
              <w:rPr/>
              <w:t>RBC Warrants: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RBC Warrants issued have an exercise price of $12.94 per share and a 12-year term from their original issuance. The RBC Warrants are recognized as a current liability on the consolidated balance sheets and are measured at fair value of $959 and $117 as of December 31, 2025 and 2024,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both December 31, 2025 and 2024, no RBC Warrants were exercised, and 13,999 RBC Warrants were issued and outstanding.</w:t>
      </w:r>
    </w:p>
    <w:p>
      <w:pPr>
        <w:pStyle w:val="TextBody"/>
        <w:bidi w:val="0"/>
        <w:spacing w:before="0" w:after="0"/>
        <w:jc w:val="both"/>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335"/>
        <w:gridCol w:w="2225"/>
      </w:tblGrid>
      <w:tr>
        <w:trPr/>
        <w:tc>
          <w:tcPr>
            <w:tcW w:w="335" w:type="dxa"/>
            <w:tcBorders/>
            <w:vAlign w:val="center"/>
          </w:tcPr>
          <w:p>
            <w:pPr>
              <w:pStyle w:val="TableContents"/>
              <w:bidi w:val="0"/>
              <w:spacing w:before="0" w:after="283"/>
              <w:jc w:val="left"/>
              <w:rPr>
                <w:b/>
              </w:rPr>
            </w:pPr>
            <w:r>
              <w:rPr>
                <w:b/>
              </w:rPr>
              <w:t>11.</w:t>
            </w:r>
          </w:p>
        </w:tc>
        <w:tc>
          <w:tcPr>
            <w:tcW w:w="2225" w:type="dxa"/>
            <w:tcBorders/>
            <w:vAlign w:val="center"/>
          </w:tcPr>
          <w:p>
            <w:pPr>
              <w:pStyle w:val="TableContents"/>
              <w:bidi w:val="0"/>
              <w:spacing w:before="0" w:after="283"/>
              <w:jc w:val="both"/>
              <w:rPr>
                <w:b/>
              </w:rPr>
            </w:pPr>
            <w:r>
              <w:rPr>
                <w:b/>
              </w:rPr>
              <w:t>Shareholders’ equity:</w:t>
            </w:r>
          </w:p>
        </w:tc>
      </w:tr>
    </w:tbl>
    <w:p>
      <w:pPr>
        <w:pStyle w:val="TextBody"/>
        <w:bidi w:val="0"/>
        <w:spacing w:before="0" w:after="0"/>
        <w:jc w:val="both"/>
        <w:rPr>
          <w:caps w:val="false"/>
          <w:smallCaps w:val="false"/>
        </w:rPr>
      </w:pPr>
      <w:r>
        <w:rPr>
          <w:caps w:val="false"/>
          <w:smallCaps w:val="false"/>
        </w:rPr>
        <w:t> </w:t>
      </w:r>
    </w:p>
    <w:tbl>
      <w:tblPr>
        <w:tblW w:w="3078" w:type="dxa"/>
        <w:jc w:val="left"/>
        <w:tblInd w:w="0" w:type="dxa"/>
        <w:tblLayout w:type="fixed"/>
        <w:tblCellMar>
          <w:top w:w="0" w:type="dxa"/>
          <w:left w:w="0" w:type="dxa"/>
          <w:bottom w:w="0" w:type="dxa"/>
          <w:right w:w="0" w:type="dxa"/>
        </w:tblCellMar>
      </w:tblPr>
      <w:tblGrid>
        <w:gridCol w:w="38"/>
        <w:gridCol w:w="275"/>
        <w:gridCol w:w="2765"/>
      </w:tblGrid>
      <w:tr>
        <w:trPr/>
        <w:tc>
          <w:tcPr>
            <w:tcW w:w="38" w:type="dxa"/>
            <w:tcBorders/>
            <w:vAlign w:val="center"/>
          </w:tcPr>
          <w:p>
            <w:pPr>
              <w:pStyle w:val="TableContents"/>
              <w:bidi w:val="0"/>
              <w:spacing w:before="0" w:after="283"/>
              <w:ind w:left="360" w:right="0" w:hanging="0"/>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2765" w:type="dxa"/>
            <w:tcBorders/>
            <w:vAlign w:val="center"/>
          </w:tcPr>
          <w:p>
            <w:pPr>
              <w:pStyle w:val="TableContents"/>
              <w:bidi w:val="0"/>
              <w:spacing w:before="0" w:after="283"/>
              <w:jc w:val="both"/>
              <w:rPr/>
            </w:pPr>
            <w:r>
              <w:rPr/>
              <w:t>Convertible preferred shares: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number and amount of convertible preferred shares authorized and issued and outstanding as of December 31, 2025, 2024, and 2023 by series:</w:t>
      </w:r>
    </w:p>
    <w:p>
      <w:pPr>
        <w:pStyle w:val="TextBody"/>
        <w:bidi w:val="0"/>
        <w:spacing w:before="0" w:after="0"/>
        <w:jc w:val="both"/>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2930"/>
        <w:gridCol w:w="60"/>
        <w:gridCol w:w="60"/>
        <w:gridCol w:w="1115"/>
        <w:gridCol w:w="60"/>
        <w:gridCol w:w="60"/>
        <w:gridCol w:w="66"/>
        <w:gridCol w:w="1214"/>
        <w:gridCol w:w="60"/>
        <w:gridCol w:w="60"/>
        <w:gridCol w:w="60"/>
        <w:gridCol w:w="800"/>
        <w:gridCol w:w="75"/>
      </w:tblGrid>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Authorized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Issued and </w:t>
              <w:b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ind w:left="0" w:right="0" w:hanging="200"/>
              <w:jc w:val="left"/>
              <w:rPr/>
            </w:pPr>
            <w:r>
              <w:rPr/>
              <w:t> </w:t>
            </w:r>
          </w:p>
        </w:tc>
      </w:tr>
      <w:tr>
        <w:trPr/>
        <w:tc>
          <w:tcPr>
            <w:tcW w:w="2930" w:type="dxa"/>
            <w:tcBorders/>
            <w:shd w:fill="CCEEFF" w:val="clear"/>
            <w:vAlign w:val="center"/>
          </w:tcPr>
          <w:p>
            <w:pPr>
              <w:pStyle w:val="TableContents"/>
              <w:bidi w:val="0"/>
              <w:spacing w:before="0" w:after="283"/>
              <w:jc w:val="left"/>
              <w:rPr/>
            </w:pPr>
            <w:r>
              <w:rPr/>
              <w:t>Series A Preferred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3,975,516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3,975,516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19,765</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930" w:type="dxa"/>
            <w:tcBorders/>
            <w:shd w:fill="FFFFFF" w:val="clear"/>
            <w:vAlign w:val="center"/>
          </w:tcPr>
          <w:p>
            <w:pPr>
              <w:pStyle w:val="TableContents"/>
              <w:bidi w:val="0"/>
              <w:spacing w:before="0" w:after="283"/>
              <w:jc w:val="left"/>
              <w:rPr/>
            </w:pPr>
            <w:r>
              <w:rPr/>
              <w:t>Series B Preferred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6,034,735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6,034,735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99,774</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930" w:type="dxa"/>
            <w:tcBorders/>
            <w:shd w:fill="CCEEFF" w:val="clear"/>
            <w:vAlign w:val="center"/>
          </w:tcPr>
          <w:p>
            <w:pPr>
              <w:pStyle w:val="TableContents"/>
              <w:bidi w:val="0"/>
              <w:spacing w:before="0" w:after="283"/>
              <w:jc w:val="left"/>
              <w:rPr/>
            </w:pPr>
            <w:r>
              <w:rPr/>
              <w:t>Series C Preferred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2,862,494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2,476,434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87,158</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930" w:type="dxa"/>
            <w:tcBorders/>
            <w:shd w:fill="FFFFFF" w:val="clear"/>
            <w:vAlign w:val="center"/>
          </w:tcPr>
          <w:p>
            <w:pPr>
              <w:pStyle w:val="TableContents"/>
              <w:bidi w:val="0"/>
              <w:spacing w:before="0" w:after="283"/>
              <w:jc w:val="left"/>
              <w:rPr/>
            </w:pPr>
            <w:r>
              <w:rPr/>
              <w:t>Series 1 Seed Preferred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2,847,306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2,847,306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1,883</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930" w:type="dxa"/>
            <w:tcBorders/>
            <w:shd w:fill="CCEEFF" w:val="clear"/>
            <w:vAlign w:val="center"/>
          </w:tcPr>
          <w:p>
            <w:pPr>
              <w:pStyle w:val="TableContents"/>
              <w:bidi w:val="0"/>
              <w:spacing w:before="0" w:after="283"/>
              <w:jc w:val="left"/>
              <w:rPr/>
            </w:pPr>
            <w:r>
              <w:rPr/>
              <w:t>Series 2 Seed Preferred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970,344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970,344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1,562</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930" w:type="dxa"/>
            <w:tcBorders/>
            <w:shd w:fill="FFFFFF" w:val="clear"/>
            <w:vAlign w:val="center"/>
          </w:tcPr>
          <w:p>
            <w:pPr>
              <w:pStyle w:val="TableContents"/>
              <w:bidi w:val="0"/>
              <w:spacing w:before="0" w:after="283"/>
              <w:jc w:val="left"/>
              <w:rPr/>
            </w:pPr>
            <w:r>
              <w:rPr/>
              <w:t>Series 3 Seed Preferred Shares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pPr>
            <w:r>
              <w:rPr/>
              <w:t>1,414,156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FFFFFF" w:val="clear"/>
            <w:tcMar>
              <w:bottom w:w="28" w:type="dxa"/>
            </w:tcMar>
            <w:vAlign w:val="center"/>
          </w:tcPr>
          <w:p>
            <w:pPr>
              <w:pStyle w:val="TableContents"/>
              <w:bidi w:val="0"/>
              <w:spacing w:before="0" w:after="283"/>
              <w:jc w:val="right"/>
              <w:rPr/>
            </w:pPr>
            <w:r>
              <w:rPr/>
              <w:t>1,414,156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2,860</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93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double" w:sz="10" w:space="0" w:color="000000"/>
            </w:tcBorders>
            <w:shd w:fill="CCEEFF" w:val="clear"/>
            <w:tcMar>
              <w:bottom w:w="28" w:type="dxa"/>
            </w:tcMar>
            <w:vAlign w:val="center"/>
          </w:tcPr>
          <w:p>
            <w:pPr>
              <w:pStyle w:val="TableContents"/>
              <w:bidi w:val="0"/>
              <w:spacing w:before="0" w:after="283"/>
              <w:jc w:val="right"/>
              <w:rPr/>
            </w:pPr>
            <w:r>
              <w:rPr/>
              <w:t>18,104,551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double" w:sz="10" w:space="0" w:color="000000"/>
            </w:tcBorders>
            <w:shd w:fill="CCEEFF" w:val="clear"/>
            <w:tcMar>
              <w:bottom w:w="28" w:type="dxa"/>
            </w:tcMar>
            <w:vAlign w:val="center"/>
          </w:tcPr>
          <w:p>
            <w:pPr>
              <w:pStyle w:val="TableContents"/>
              <w:bidi w:val="0"/>
              <w:spacing w:before="0" w:after="283"/>
              <w:jc w:val="right"/>
              <w:rPr/>
            </w:pPr>
            <w:r>
              <w:rPr/>
              <w:t>17,718,491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213,002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preferred share is convertible, at the option of the holder, into one common share at the holder’s option, subject to certain adjustments including weighted average anti-dilution protection and down-round anti-dilution adjustments. As of December 31, 2025 and 2024, the maximum number of common shares that could be required to be issued if converted is 17,718,491 shares. The preferred shares automatically convert into common shares in the event of: (i) the closing of a public offering that results in proceeds of at least $50,000 or (ii) the voluntary conversion of at least a preferred majority.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F-63</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the Consolidated Statements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jc w:val="both"/>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335"/>
        <w:gridCol w:w="2900"/>
      </w:tblGrid>
      <w:tr>
        <w:trPr/>
        <w:tc>
          <w:tcPr>
            <w:tcW w:w="335" w:type="dxa"/>
            <w:tcBorders/>
            <w:vAlign w:val="center"/>
          </w:tcPr>
          <w:p>
            <w:pPr>
              <w:pStyle w:val="TableContents"/>
              <w:bidi w:val="0"/>
              <w:spacing w:before="0" w:after="283"/>
              <w:jc w:val="left"/>
              <w:rPr>
                <w:b/>
              </w:rPr>
            </w:pPr>
            <w:r>
              <w:rPr>
                <w:b/>
              </w:rPr>
              <w:t>11.</w:t>
            </w:r>
          </w:p>
        </w:tc>
        <w:tc>
          <w:tcPr>
            <w:tcW w:w="2900" w:type="dxa"/>
            <w:tcBorders/>
            <w:vAlign w:val="center"/>
          </w:tcPr>
          <w:p>
            <w:pPr>
              <w:pStyle w:val="TableContents"/>
              <w:bidi w:val="0"/>
              <w:spacing w:before="0" w:after="283"/>
              <w:jc w:val="both"/>
              <w:rPr/>
            </w:pPr>
            <w:r>
              <w:rPr>
                <w:b/>
              </w:rPr>
              <w:t xml:space="preserve">Shareholders’ equity: </w:t>
            </w:r>
            <w:r>
              <w:rPr/>
              <w:t>(cont.)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preferred shares are entitled to vote together as one series with holders of the voting common shares on an as-converted basis.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shares are not redeemable at the option of the holders thereof or Old Xanadu.</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shares of each class and series rank senior to the common shares and pari passu with each other class and series of preferred shares with respect to dividends and return of capital in the event of a liquidation event. Dividends are non-cumulative. The holders of the preferred shares shall be entitled to receive any dividends if and when declared by the 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deemed liquidation triggered by the sale of substantially all assets or a change of control resulting in Old Xanadu holding less than 50% voting rights, dissolution or winding up of Old Xanadu, the holders of each preferred share shall receive their original issue price, plus any declared but unpaid dividends on such share. Thereafter, any assets remaining following distribution to the holders of the preferred shares would be distributed to the holders of the common shares and any other series of shares ranking junior to the preferred shares.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Old Xanadu has determined that the preferred shares are more akin to equity instruments and are classified as permanent equity under ASC 480, </w:t>
      </w:r>
      <w:r>
        <w:rPr>
          <w:rFonts w:ascii="Times New Roman;Times;Serif" w:hAnsi="Times New Roman;Times;Serif"/>
          <w:b w:val="false"/>
          <w:i/>
          <w:caps w:val="false"/>
          <w:smallCaps w:val="false"/>
          <w:sz w:val="20"/>
        </w:rPr>
        <w:t xml:space="preserve">Distinguishing Liabilities from Equity. </w:t>
      </w:r>
      <w:r>
        <w:rPr>
          <w:rFonts w:ascii="Times New Roman;Times;Serif" w:hAnsi="Times New Roman;Times;Serif"/>
          <w:b w:val="false"/>
          <w:i w:val="false"/>
          <w:caps w:val="false"/>
          <w:smallCaps w:val="false"/>
          <w:sz w:val="20"/>
        </w:rPr>
        <w:t xml:space="preserve">In addition, the economic characteristics and risks of the embedded conversion options are clearly and closely related to the preferred shares. As such, the conversion options are not required to be bifurcated from the host instruments under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tbl>
      <w:tblPr>
        <w:tblW w:w="1953" w:type="dxa"/>
        <w:jc w:val="left"/>
        <w:tblInd w:w="0" w:type="dxa"/>
        <w:tblLayout w:type="fixed"/>
        <w:tblCellMar>
          <w:top w:w="0" w:type="dxa"/>
          <w:left w:w="0" w:type="dxa"/>
          <w:bottom w:w="0" w:type="dxa"/>
          <w:right w:w="0" w:type="dxa"/>
        </w:tblCellMar>
      </w:tblPr>
      <w:tblGrid>
        <w:gridCol w:w="38"/>
        <w:gridCol w:w="290"/>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1625" w:type="dxa"/>
            <w:tcBorders/>
            <w:vAlign w:val="center"/>
          </w:tcPr>
          <w:p>
            <w:pPr>
              <w:pStyle w:val="TableContents"/>
              <w:bidi w:val="0"/>
              <w:spacing w:before="0" w:after="283"/>
              <w:jc w:val="both"/>
              <w:rPr/>
            </w:pPr>
            <w:r>
              <w:rPr/>
              <w:t>Common shares: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number and amount of non-voting and voting common shares authorized and issued and outstanding as of December 31, 2025, 2024, and 2023:</w:t>
      </w:r>
    </w:p>
    <w:p>
      <w:pPr>
        <w:pStyle w:val="TextBody"/>
        <w:bidi w:val="0"/>
        <w:spacing w:before="0" w:after="0"/>
        <w:ind w:left="360" w:right="0" w:hanging="0"/>
        <w:jc w:val="both"/>
        <w:rPr>
          <w:caps w:val="false"/>
          <w:smallCaps w:val="false"/>
        </w:rPr>
      </w:pPr>
      <w:r>
        <w:rPr>
          <w:caps w:val="false"/>
          <w:smallCaps w:val="false"/>
        </w:rPr>
        <w:t> </w:t>
      </w:r>
    </w:p>
    <w:tbl>
      <w:tblPr>
        <w:tblW w:w="6350" w:type="dxa"/>
        <w:jc w:val="left"/>
        <w:tblInd w:w="0" w:type="dxa"/>
        <w:tblLayout w:type="fixed"/>
        <w:tblCellMar>
          <w:top w:w="0" w:type="dxa"/>
          <w:left w:w="0" w:type="dxa"/>
          <w:bottom w:w="0" w:type="dxa"/>
          <w:right w:w="0" w:type="dxa"/>
        </w:tblCellMar>
      </w:tblPr>
      <w:tblGrid>
        <w:gridCol w:w="2660"/>
        <w:gridCol w:w="60"/>
        <w:gridCol w:w="60"/>
        <w:gridCol w:w="1115"/>
        <w:gridCol w:w="60"/>
        <w:gridCol w:w="60"/>
        <w:gridCol w:w="73"/>
        <w:gridCol w:w="1207"/>
        <w:gridCol w:w="60"/>
        <w:gridCol w:w="60"/>
        <w:gridCol w:w="83"/>
        <w:gridCol w:w="777"/>
        <w:gridCol w:w="75"/>
      </w:tblGrid>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5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Authorized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Issued and </w:t>
              <w:b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pPr>
            <w:r>
              <w:rPr/>
              <w:t>Voting common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24,468,242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4,854,733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7,096</w:t>
            </w:r>
          </w:p>
        </w:tc>
        <w:tc>
          <w:tcPr>
            <w:tcW w:w="75"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pPr>
            <w:r>
              <w:rPr/>
              <w:t>Non-voting common shares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pPr>
            <w:r>
              <w:rPr/>
              <w:t>5,320,208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12" w:space="0" w:color="000000"/>
            </w:tcBorders>
            <w:shd w:fill="FFFFFF" w:val="clear"/>
            <w:tcMar>
              <w:bottom w:w="28" w:type="dxa"/>
            </w:tcMar>
            <w:vAlign w:val="center"/>
          </w:tcPr>
          <w:p>
            <w:pPr>
              <w:pStyle w:val="TableContents"/>
              <w:bidi w:val="0"/>
              <w:spacing w:before="0" w:after="283"/>
              <w:jc w:val="right"/>
              <w:rPr/>
            </w:pPr>
            <w:r>
              <w:rPr/>
              <w:t>105,067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7" w:type="dxa"/>
            <w:tcBorders>
              <w:bottom w:val="single" w:sz="12" w:space="0" w:color="000000"/>
            </w:tcBorders>
            <w:shd w:fill="FFFFFF" w:val="clear"/>
            <w:tcMar>
              <w:bottom w:w="28" w:type="dxa"/>
            </w:tcMar>
            <w:vAlign w:val="center"/>
          </w:tcPr>
          <w:p>
            <w:pPr>
              <w:pStyle w:val="TableContents"/>
              <w:bidi w:val="0"/>
              <w:spacing w:before="0" w:after="283"/>
              <w:jc w:val="right"/>
              <w:rPr/>
            </w:pPr>
            <w:r>
              <w:rPr/>
              <w:t>489</w:t>
            </w:r>
          </w:p>
        </w:tc>
        <w:tc>
          <w:tcPr>
            <w:tcW w:w="75"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double" w:sz="10" w:space="0" w:color="000000"/>
            </w:tcBorders>
            <w:shd w:fill="CCEEFF" w:val="clear"/>
            <w:tcMar>
              <w:bottom w:w="28" w:type="dxa"/>
            </w:tcMar>
            <w:vAlign w:val="center"/>
          </w:tcPr>
          <w:p>
            <w:pPr>
              <w:pStyle w:val="TableContents"/>
              <w:bidi w:val="0"/>
              <w:spacing w:before="0" w:after="283"/>
              <w:jc w:val="right"/>
              <w:rPr/>
            </w:pPr>
            <w:r>
              <w:rPr/>
              <w:t>29,788,450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7" w:type="dxa"/>
            <w:tcBorders>
              <w:bottom w:val="double" w:sz="10" w:space="0" w:color="000000"/>
            </w:tcBorders>
            <w:shd w:fill="CCEEFF" w:val="clear"/>
            <w:tcMar>
              <w:bottom w:w="28" w:type="dxa"/>
            </w:tcMar>
            <w:vAlign w:val="center"/>
          </w:tcPr>
          <w:p>
            <w:pPr>
              <w:pStyle w:val="TableContents"/>
              <w:bidi w:val="0"/>
              <w:spacing w:before="0" w:after="283"/>
              <w:jc w:val="right"/>
              <w:rPr/>
            </w:pPr>
            <w:r>
              <w:rPr/>
              <w:t>4,959,800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double" w:sz="10" w:space="0" w:color="000000"/>
            </w:tcBorders>
            <w:shd w:fill="CCEEFF" w:val="clear"/>
            <w:tcMar>
              <w:bottom w:w="28" w:type="dxa"/>
            </w:tcMar>
            <w:vAlign w:val="center"/>
          </w:tcPr>
          <w:p>
            <w:pPr>
              <w:pStyle w:val="TableContents"/>
              <w:bidi w:val="0"/>
              <w:spacing w:before="0" w:after="283"/>
              <w:jc w:val="right"/>
              <w:rPr/>
            </w:pPr>
            <w:r>
              <w:rPr/>
              <w:t>7,585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6350" w:type="dxa"/>
        <w:jc w:val="left"/>
        <w:tblInd w:w="0" w:type="dxa"/>
        <w:tblLayout w:type="fixed"/>
        <w:tblCellMar>
          <w:top w:w="0" w:type="dxa"/>
          <w:left w:w="0" w:type="dxa"/>
          <w:bottom w:w="0" w:type="dxa"/>
          <w:right w:w="0" w:type="dxa"/>
        </w:tblCellMar>
      </w:tblPr>
      <w:tblGrid>
        <w:gridCol w:w="2660"/>
        <w:gridCol w:w="60"/>
        <w:gridCol w:w="60"/>
        <w:gridCol w:w="1115"/>
        <w:gridCol w:w="60"/>
        <w:gridCol w:w="60"/>
        <w:gridCol w:w="73"/>
        <w:gridCol w:w="1207"/>
        <w:gridCol w:w="60"/>
        <w:gridCol w:w="60"/>
        <w:gridCol w:w="83"/>
        <w:gridCol w:w="777"/>
        <w:gridCol w:w="75"/>
      </w:tblGrid>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5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December 31, 2024</w:t>
            </w:r>
          </w:p>
        </w:tc>
        <w:tc>
          <w:tcPr>
            <w:tcW w:w="75"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Authorized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Issued and </w:t>
              <w:b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ind w:left="0" w:right="0" w:hanging="200"/>
              <w:jc w:val="left"/>
              <w:rPr/>
            </w:pPr>
            <w:r>
              <w:rPr/>
              <w:t> </w:t>
            </w:r>
          </w:p>
        </w:tc>
      </w:tr>
      <w:tr>
        <w:trPr/>
        <w:tc>
          <w:tcPr>
            <w:tcW w:w="2660" w:type="dxa"/>
            <w:tcBorders/>
            <w:shd w:fill="CCEEFF" w:val="clear"/>
            <w:vAlign w:val="center"/>
          </w:tcPr>
          <w:p>
            <w:pPr>
              <w:pStyle w:val="TableContents"/>
              <w:bidi w:val="0"/>
              <w:spacing w:before="0" w:after="283"/>
              <w:jc w:val="left"/>
              <w:rPr/>
            </w:pPr>
            <w:r>
              <w:rPr/>
              <w:t>Voting common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24,468,242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4,854,733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7,096</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660" w:type="dxa"/>
            <w:tcBorders/>
            <w:shd w:fill="FFFFFF" w:val="clear"/>
            <w:vAlign w:val="center"/>
          </w:tcPr>
          <w:p>
            <w:pPr>
              <w:pStyle w:val="TableContents"/>
              <w:bidi w:val="0"/>
              <w:spacing w:before="0" w:after="283"/>
              <w:jc w:val="left"/>
              <w:rPr/>
            </w:pPr>
            <w:r>
              <w:rPr/>
              <w:t>Non-voting common shares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pPr>
            <w:r>
              <w:rPr/>
              <w:t>5,320,208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12" w:space="0" w:color="000000"/>
            </w:tcBorders>
            <w:shd w:fill="FFFFFF" w:val="clear"/>
            <w:tcMar>
              <w:bottom w:w="28" w:type="dxa"/>
            </w:tcMar>
            <w:vAlign w:val="center"/>
          </w:tcPr>
          <w:p>
            <w:pPr>
              <w:pStyle w:val="TableContents"/>
              <w:bidi w:val="0"/>
              <w:spacing w:before="0" w:after="283"/>
              <w:jc w:val="right"/>
              <w:rPr/>
            </w:pPr>
            <w:r>
              <w:rPr/>
              <w:t>69,830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7" w:type="dxa"/>
            <w:tcBorders>
              <w:bottom w:val="single" w:sz="12" w:space="0" w:color="000000"/>
            </w:tcBorders>
            <w:shd w:fill="FFFFFF" w:val="clear"/>
            <w:tcMar>
              <w:bottom w:w="28" w:type="dxa"/>
            </w:tcMar>
            <w:vAlign w:val="center"/>
          </w:tcPr>
          <w:p>
            <w:pPr>
              <w:pStyle w:val="TableContents"/>
              <w:bidi w:val="0"/>
              <w:spacing w:before="0" w:after="283"/>
              <w:jc w:val="right"/>
              <w:rPr/>
            </w:pPr>
            <w:r>
              <w:rPr/>
              <w:t>303</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66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double" w:sz="10" w:space="0" w:color="000000"/>
            </w:tcBorders>
            <w:shd w:fill="CCEEFF" w:val="clear"/>
            <w:tcMar>
              <w:bottom w:w="28" w:type="dxa"/>
            </w:tcMar>
            <w:vAlign w:val="center"/>
          </w:tcPr>
          <w:p>
            <w:pPr>
              <w:pStyle w:val="TableContents"/>
              <w:bidi w:val="0"/>
              <w:spacing w:before="0" w:after="283"/>
              <w:jc w:val="right"/>
              <w:rPr/>
            </w:pPr>
            <w:r>
              <w:rPr/>
              <w:t>29,788,450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7" w:type="dxa"/>
            <w:tcBorders>
              <w:bottom w:val="double" w:sz="10" w:space="0" w:color="000000"/>
            </w:tcBorders>
            <w:shd w:fill="CCEEFF" w:val="clear"/>
            <w:tcMar>
              <w:bottom w:w="28" w:type="dxa"/>
            </w:tcMar>
            <w:vAlign w:val="center"/>
          </w:tcPr>
          <w:p>
            <w:pPr>
              <w:pStyle w:val="TableContents"/>
              <w:bidi w:val="0"/>
              <w:spacing w:before="0" w:after="283"/>
              <w:jc w:val="right"/>
              <w:rPr/>
            </w:pPr>
            <w:r>
              <w:rPr/>
              <w:t>4,924,563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double" w:sz="10" w:space="0" w:color="000000"/>
            </w:tcBorders>
            <w:shd w:fill="CCEEFF" w:val="clear"/>
            <w:tcMar>
              <w:bottom w:w="28" w:type="dxa"/>
            </w:tcMar>
            <w:vAlign w:val="center"/>
          </w:tcPr>
          <w:p>
            <w:pPr>
              <w:pStyle w:val="TableContents"/>
              <w:bidi w:val="0"/>
              <w:spacing w:before="0" w:after="283"/>
              <w:jc w:val="right"/>
              <w:rPr/>
            </w:pPr>
            <w:r>
              <w:rPr/>
              <w:t>7,399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6350" w:type="dxa"/>
        <w:jc w:val="left"/>
        <w:tblInd w:w="0" w:type="dxa"/>
        <w:tblLayout w:type="fixed"/>
        <w:tblCellMar>
          <w:top w:w="0" w:type="dxa"/>
          <w:left w:w="0" w:type="dxa"/>
          <w:bottom w:w="0" w:type="dxa"/>
          <w:right w:w="0" w:type="dxa"/>
        </w:tblCellMar>
      </w:tblPr>
      <w:tblGrid>
        <w:gridCol w:w="2660"/>
        <w:gridCol w:w="60"/>
        <w:gridCol w:w="60"/>
        <w:gridCol w:w="1115"/>
        <w:gridCol w:w="60"/>
        <w:gridCol w:w="60"/>
        <w:gridCol w:w="73"/>
        <w:gridCol w:w="1207"/>
        <w:gridCol w:w="60"/>
        <w:gridCol w:w="60"/>
        <w:gridCol w:w="83"/>
        <w:gridCol w:w="777"/>
        <w:gridCol w:w="75"/>
      </w:tblGrid>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5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December 31, 2023</w:t>
            </w:r>
          </w:p>
        </w:tc>
        <w:tc>
          <w:tcPr>
            <w:tcW w:w="75"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Authorized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Issued and </w:t>
              <w:b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ind w:left="0" w:right="0" w:hanging="200"/>
              <w:jc w:val="left"/>
              <w:rPr/>
            </w:pPr>
            <w:r>
              <w:rPr/>
              <w:t> </w:t>
            </w:r>
          </w:p>
        </w:tc>
      </w:tr>
      <w:tr>
        <w:trPr/>
        <w:tc>
          <w:tcPr>
            <w:tcW w:w="2660" w:type="dxa"/>
            <w:tcBorders/>
            <w:shd w:fill="CCEEFF" w:val="clear"/>
            <w:vAlign w:val="center"/>
          </w:tcPr>
          <w:p>
            <w:pPr>
              <w:pStyle w:val="TableContents"/>
              <w:bidi w:val="0"/>
              <w:spacing w:before="0" w:after="283"/>
              <w:jc w:val="left"/>
              <w:rPr/>
            </w:pPr>
            <w:r>
              <w:rPr/>
              <w:t>Voting common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24,468,242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4,854,733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7,096</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660" w:type="dxa"/>
            <w:tcBorders/>
            <w:shd w:fill="FFFFFF" w:val="clear"/>
            <w:vAlign w:val="center"/>
          </w:tcPr>
          <w:p>
            <w:pPr>
              <w:pStyle w:val="TableContents"/>
              <w:bidi w:val="0"/>
              <w:spacing w:before="0" w:after="283"/>
              <w:jc w:val="left"/>
              <w:rPr/>
            </w:pPr>
            <w:r>
              <w:rPr/>
              <w:t>Non-voting common shares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pPr>
            <w:r>
              <w:rPr/>
              <w:t>5,320,208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12" w:space="0" w:color="000000"/>
            </w:tcBorders>
            <w:shd w:fill="FFFFFF" w:val="clear"/>
            <w:tcMar>
              <w:bottom w:w="28" w:type="dxa"/>
            </w:tcMar>
            <w:vAlign w:val="center"/>
          </w:tcPr>
          <w:p>
            <w:pPr>
              <w:pStyle w:val="TableContents"/>
              <w:bidi w:val="0"/>
              <w:spacing w:before="0" w:after="283"/>
              <w:jc w:val="right"/>
              <w:rPr/>
            </w:pPr>
            <w:r>
              <w:rPr/>
              <w:t>57,727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7" w:type="dxa"/>
            <w:tcBorders>
              <w:bottom w:val="single" w:sz="12" w:space="0" w:color="000000"/>
            </w:tcBorders>
            <w:shd w:fill="FFFFFF" w:val="clear"/>
            <w:tcMar>
              <w:bottom w:w="28" w:type="dxa"/>
            </w:tcMar>
            <w:vAlign w:val="center"/>
          </w:tcPr>
          <w:p>
            <w:pPr>
              <w:pStyle w:val="TableContents"/>
              <w:bidi w:val="0"/>
              <w:spacing w:before="0" w:after="283"/>
              <w:jc w:val="right"/>
              <w:rPr/>
            </w:pPr>
            <w:r>
              <w:rPr/>
              <w:t>191</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66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double" w:sz="10" w:space="0" w:color="000000"/>
            </w:tcBorders>
            <w:shd w:fill="CCEEFF" w:val="clear"/>
            <w:tcMar>
              <w:bottom w:w="28" w:type="dxa"/>
            </w:tcMar>
            <w:vAlign w:val="center"/>
          </w:tcPr>
          <w:p>
            <w:pPr>
              <w:pStyle w:val="TableContents"/>
              <w:bidi w:val="0"/>
              <w:spacing w:before="0" w:after="283"/>
              <w:jc w:val="right"/>
              <w:rPr/>
            </w:pPr>
            <w:r>
              <w:rPr/>
              <w:t>29,788,450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7" w:type="dxa"/>
            <w:tcBorders>
              <w:bottom w:val="double" w:sz="10" w:space="0" w:color="000000"/>
            </w:tcBorders>
            <w:shd w:fill="CCEEFF" w:val="clear"/>
            <w:tcMar>
              <w:bottom w:w="28" w:type="dxa"/>
            </w:tcMar>
            <w:vAlign w:val="center"/>
          </w:tcPr>
          <w:p>
            <w:pPr>
              <w:pStyle w:val="TableContents"/>
              <w:bidi w:val="0"/>
              <w:spacing w:before="0" w:after="283"/>
              <w:jc w:val="right"/>
              <w:rPr/>
            </w:pPr>
            <w:r>
              <w:rPr/>
              <w:t>4,912,460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double" w:sz="10" w:space="0" w:color="000000"/>
            </w:tcBorders>
            <w:shd w:fill="CCEEFF" w:val="clear"/>
            <w:tcMar>
              <w:bottom w:w="28" w:type="dxa"/>
            </w:tcMar>
            <w:vAlign w:val="center"/>
          </w:tcPr>
          <w:p>
            <w:pPr>
              <w:pStyle w:val="TableContents"/>
              <w:bidi w:val="0"/>
              <w:spacing w:before="0" w:after="283"/>
              <w:jc w:val="right"/>
              <w:rPr/>
            </w:pPr>
            <w:r>
              <w:rPr/>
              <w:t>7,287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F-64</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i w:val="false"/>
          <w:caps w:val="false"/>
          <w:smallCaps w:val="false"/>
          <w:sz w:val="20"/>
        </w:rPr>
        <w:br/>
        <w:t>Notes to the Consolidated Statements</w:t>
        <w:br/>
        <w:t>(In thousands, except for share and per share amounts)</w:t>
      </w:r>
    </w:p>
    <w:p>
      <w:pPr>
        <w:pStyle w:val="TextBody"/>
        <w:bidi w:val="0"/>
        <w:spacing w:before="0" w:after="0"/>
        <w:jc w:val="both"/>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335"/>
        <w:gridCol w:w="2900"/>
      </w:tblGrid>
      <w:tr>
        <w:trPr/>
        <w:tc>
          <w:tcPr>
            <w:tcW w:w="335" w:type="dxa"/>
            <w:tcBorders/>
            <w:vAlign w:val="center"/>
          </w:tcPr>
          <w:p>
            <w:pPr>
              <w:pStyle w:val="TableContents"/>
              <w:bidi w:val="0"/>
              <w:spacing w:before="0" w:after="283"/>
              <w:jc w:val="left"/>
              <w:rPr>
                <w:b/>
              </w:rPr>
            </w:pPr>
            <w:r>
              <w:rPr>
                <w:b/>
              </w:rPr>
              <w:t>11.</w:t>
            </w:r>
          </w:p>
        </w:tc>
        <w:tc>
          <w:tcPr>
            <w:tcW w:w="2900" w:type="dxa"/>
            <w:tcBorders/>
            <w:vAlign w:val="center"/>
          </w:tcPr>
          <w:p>
            <w:pPr>
              <w:pStyle w:val="TableContents"/>
              <w:bidi w:val="0"/>
              <w:spacing w:before="0" w:after="283"/>
              <w:jc w:val="both"/>
              <w:rPr/>
            </w:pPr>
            <w:r>
              <w:rPr>
                <w:b/>
              </w:rPr>
              <w:t>Shareholders’ equity:</w:t>
            </w:r>
            <w:r>
              <w:rPr/>
              <w:t xml:space="preserve"> (cont.)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voting common shares have one vote per share. Dividends may be declared and paid on both the voting and non-voting common shares, subject in all cases to the rights and preferences of the holders of the preferred shares and authorization by the Board of Directors. In the event of any voluntary or involuntary liquidation, dissolution or winding-up of Old Xanadu, after payment of all preferential amounts required to be paid to the holders of preferred shares, the holders of the common shares and non-voting common shares are entitled to share equally, share-for-share, in any distribution of the remaining assets of Old Xanadu.</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issued and outstanding voting and non-voting common shares for the years ended December 31, 2025, 2024, and 2023:</w:t>
      </w:r>
    </w:p>
    <w:p>
      <w:pPr>
        <w:pStyle w:val="TextBody"/>
        <w:bidi w:val="0"/>
        <w:spacing w:before="0" w:after="0"/>
        <w:ind w:left="360" w:right="0" w:hanging="0"/>
        <w:jc w:val="both"/>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3770"/>
        <w:gridCol w:w="60"/>
        <w:gridCol w:w="79"/>
        <w:gridCol w:w="1298"/>
        <w:gridCol w:w="79"/>
        <w:gridCol w:w="79"/>
        <w:gridCol w:w="185"/>
        <w:gridCol w:w="742"/>
        <w:gridCol w:w="60"/>
        <w:gridCol w:w="60"/>
        <w:gridCol w:w="119"/>
        <w:gridCol w:w="1586"/>
        <w:gridCol w:w="119"/>
        <w:gridCol w:w="119"/>
        <w:gridCol w:w="277"/>
        <w:gridCol w:w="753"/>
        <w:gridCol w:w="75"/>
      </w:tblGrid>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Voting Common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Non-Voting Common Shares</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7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ind w:left="0" w:right="0" w:hanging="200"/>
              <w:jc w:val="left"/>
              <w:rPr/>
            </w:pPr>
            <w:r>
              <w:rPr/>
              <w:t> </w:t>
            </w:r>
          </w:p>
        </w:tc>
      </w:tr>
      <w:tr>
        <w:trPr/>
        <w:tc>
          <w:tcPr>
            <w:tcW w:w="3770" w:type="dxa"/>
            <w:tcBorders/>
            <w:shd w:fill="CCEEFF" w:val="clear"/>
            <w:vAlign w:val="center"/>
          </w:tcPr>
          <w:p>
            <w:pPr>
              <w:pStyle w:val="TableContents"/>
              <w:bidi w:val="0"/>
              <w:spacing w:before="0" w:after="283"/>
              <w:jc w:val="left"/>
              <w:rPr/>
            </w:pPr>
            <w:r>
              <w:rPr/>
              <w:t>Balance as of January 1, 2023</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4,854,733</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742" w:type="dxa"/>
            <w:tcBorders/>
            <w:shd w:fill="CCEEFF" w:val="clear"/>
            <w:vAlign w:val="center"/>
          </w:tcPr>
          <w:p>
            <w:pPr>
              <w:pStyle w:val="TableContents"/>
              <w:bidi w:val="0"/>
              <w:spacing w:before="0" w:after="283"/>
              <w:jc w:val="right"/>
              <w:rPr/>
            </w:pPr>
            <w:r>
              <w:rPr/>
              <w:t>7,096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586" w:type="dxa"/>
            <w:tcBorders/>
            <w:shd w:fill="CCEEFF" w:val="clear"/>
            <w:vAlign w:val="center"/>
          </w:tcPr>
          <w:p>
            <w:pPr>
              <w:pStyle w:val="TableContents"/>
              <w:bidi w:val="0"/>
              <w:spacing w:before="0" w:after="283"/>
              <w:jc w:val="right"/>
              <w:rPr/>
            </w:pPr>
            <w:r>
              <w:rPr/>
              <w:t>17,350</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w:t>
            </w:r>
          </w:p>
        </w:tc>
        <w:tc>
          <w:tcPr>
            <w:tcW w:w="753" w:type="dxa"/>
            <w:tcBorders/>
            <w:shd w:fill="CCEEFF" w:val="clear"/>
            <w:vAlign w:val="center"/>
          </w:tcPr>
          <w:p>
            <w:pPr>
              <w:pStyle w:val="TableContents"/>
              <w:bidi w:val="0"/>
              <w:spacing w:before="0" w:after="283"/>
              <w:jc w:val="right"/>
              <w:rPr/>
            </w:pPr>
            <w:r>
              <w:rPr/>
              <w:t>32</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770" w:type="dxa"/>
            <w:tcBorders/>
            <w:shd w:fill="FFFFFF" w:val="clear"/>
            <w:vAlign w:val="center"/>
          </w:tcPr>
          <w:p>
            <w:pPr>
              <w:pStyle w:val="TableContents"/>
              <w:bidi w:val="0"/>
              <w:spacing w:before="0" w:after="283"/>
              <w:jc w:val="left"/>
              <w:rPr/>
            </w:pPr>
            <w:r>
              <w:rPr/>
              <w:t>Issuance upon exercise of stock options</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86" w:type="dxa"/>
            <w:tcBorders>
              <w:bottom w:val="single" w:sz="12" w:space="0" w:color="000000"/>
            </w:tcBorders>
            <w:shd w:fill="FFFFFF" w:val="clear"/>
            <w:tcMar>
              <w:bottom w:w="28" w:type="dxa"/>
            </w:tcMar>
            <w:vAlign w:val="center"/>
          </w:tcPr>
          <w:p>
            <w:pPr>
              <w:pStyle w:val="TableContents"/>
              <w:bidi w:val="0"/>
              <w:spacing w:before="0" w:after="283"/>
              <w:jc w:val="right"/>
              <w:rPr/>
            </w:pPr>
            <w:r>
              <w:rPr/>
              <w:t>40,377</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3" w:type="dxa"/>
            <w:tcBorders>
              <w:bottom w:val="single" w:sz="12" w:space="0" w:color="000000"/>
            </w:tcBorders>
            <w:shd w:fill="FFFFFF" w:val="clear"/>
            <w:tcMar>
              <w:bottom w:w="28" w:type="dxa"/>
            </w:tcMar>
            <w:vAlign w:val="center"/>
          </w:tcPr>
          <w:p>
            <w:pPr>
              <w:pStyle w:val="TableContents"/>
              <w:bidi w:val="0"/>
              <w:spacing w:before="0" w:after="283"/>
              <w:jc w:val="right"/>
              <w:rPr/>
            </w:pPr>
            <w:r>
              <w:rPr/>
              <w:t>159</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770" w:type="dxa"/>
            <w:tcBorders/>
            <w:shd w:fill="CCEEFF" w:val="clear"/>
            <w:vAlign w:val="center"/>
          </w:tcPr>
          <w:p>
            <w:pPr>
              <w:pStyle w:val="TableContents"/>
              <w:bidi w:val="0"/>
              <w:spacing w:before="0" w:after="283"/>
              <w:jc w:val="left"/>
              <w:rPr/>
            </w:pPr>
            <w:r>
              <w:rPr/>
              <w:t>Balance as of December 31, 2023</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4,854,733</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742" w:type="dxa"/>
            <w:tcBorders/>
            <w:shd w:fill="CCEEFF" w:val="clear"/>
            <w:vAlign w:val="center"/>
          </w:tcPr>
          <w:p>
            <w:pPr>
              <w:pStyle w:val="TableContents"/>
              <w:bidi w:val="0"/>
              <w:spacing w:before="0" w:after="283"/>
              <w:jc w:val="right"/>
              <w:rPr/>
            </w:pPr>
            <w:r>
              <w:rPr/>
              <w:t>7,096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586" w:type="dxa"/>
            <w:tcBorders/>
            <w:shd w:fill="CCEEFF" w:val="clear"/>
            <w:vAlign w:val="center"/>
          </w:tcPr>
          <w:p>
            <w:pPr>
              <w:pStyle w:val="TableContents"/>
              <w:bidi w:val="0"/>
              <w:spacing w:before="0" w:after="283"/>
              <w:jc w:val="right"/>
              <w:rPr/>
            </w:pPr>
            <w:r>
              <w:rPr/>
              <w:t>57,727</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w:t>
            </w:r>
          </w:p>
        </w:tc>
        <w:tc>
          <w:tcPr>
            <w:tcW w:w="753" w:type="dxa"/>
            <w:tcBorders/>
            <w:shd w:fill="CCEEFF" w:val="clear"/>
            <w:vAlign w:val="center"/>
          </w:tcPr>
          <w:p>
            <w:pPr>
              <w:pStyle w:val="TableContents"/>
              <w:bidi w:val="0"/>
              <w:spacing w:before="0" w:after="283"/>
              <w:jc w:val="right"/>
              <w:rPr/>
            </w:pPr>
            <w:r>
              <w:rPr/>
              <w:t>191</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770" w:type="dxa"/>
            <w:tcBorders/>
            <w:shd w:fill="FFFFFF" w:val="clear"/>
            <w:vAlign w:val="center"/>
          </w:tcPr>
          <w:p>
            <w:pPr>
              <w:pStyle w:val="TableContents"/>
              <w:bidi w:val="0"/>
              <w:spacing w:before="0" w:after="283"/>
              <w:jc w:val="left"/>
              <w:rPr/>
            </w:pPr>
            <w:r>
              <w:rPr/>
              <w:t>Issuance upon exercise of stock options</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586" w:type="dxa"/>
            <w:tcBorders/>
            <w:shd w:fill="FFFFFF" w:val="clear"/>
            <w:vAlign w:val="center"/>
          </w:tcPr>
          <w:p>
            <w:pPr>
              <w:pStyle w:val="TableContents"/>
              <w:bidi w:val="0"/>
              <w:spacing w:before="0" w:after="283"/>
              <w:jc w:val="right"/>
              <w:rPr/>
            </w:pPr>
            <w:r>
              <w:rPr/>
              <w:t>12,103</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pPr>
            <w:r>
              <w:rPr/>
              <w:t>112</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770" w:type="dxa"/>
            <w:tcBorders/>
            <w:shd w:fill="CCEEFF" w:val="clear"/>
            <w:vAlign w:val="center"/>
          </w:tcPr>
          <w:p>
            <w:pPr>
              <w:pStyle w:val="TableContents"/>
              <w:bidi w:val="0"/>
              <w:spacing w:before="0" w:after="283"/>
              <w:jc w:val="left"/>
              <w:rPr/>
            </w:pPr>
            <w:r>
              <w:rPr/>
              <w:t>Balance as of December 31, 2024</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4,854,733</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742" w:type="dxa"/>
            <w:tcBorders/>
            <w:shd w:fill="CCEEFF" w:val="clear"/>
            <w:vAlign w:val="center"/>
          </w:tcPr>
          <w:p>
            <w:pPr>
              <w:pStyle w:val="TableContents"/>
              <w:bidi w:val="0"/>
              <w:spacing w:before="0" w:after="283"/>
              <w:jc w:val="right"/>
              <w:rPr/>
            </w:pPr>
            <w:r>
              <w:rPr/>
              <w:t>7,096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586" w:type="dxa"/>
            <w:tcBorders/>
            <w:shd w:fill="CCEEFF" w:val="clear"/>
            <w:vAlign w:val="center"/>
          </w:tcPr>
          <w:p>
            <w:pPr>
              <w:pStyle w:val="TableContents"/>
              <w:bidi w:val="0"/>
              <w:spacing w:before="0" w:after="283"/>
              <w:jc w:val="right"/>
              <w:rPr/>
            </w:pPr>
            <w:r>
              <w:rPr/>
              <w:t>69,830</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w:t>
            </w:r>
          </w:p>
        </w:tc>
        <w:tc>
          <w:tcPr>
            <w:tcW w:w="753" w:type="dxa"/>
            <w:tcBorders/>
            <w:shd w:fill="CCEEFF" w:val="clear"/>
            <w:vAlign w:val="center"/>
          </w:tcPr>
          <w:p>
            <w:pPr>
              <w:pStyle w:val="TableContents"/>
              <w:bidi w:val="0"/>
              <w:spacing w:before="0" w:after="283"/>
              <w:jc w:val="right"/>
              <w:rPr/>
            </w:pPr>
            <w:r>
              <w:rPr/>
              <w:t>303</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770" w:type="dxa"/>
            <w:tcBorders/>
            <w:shd w:fill="FFFFFF" w:val="clear"/>
            <w:vAlign w:val="center"/>
          </w:tcPr>
          <w:p>
            <w:pPr>
              <w:pStyle w:val="TableContents"/>
              <w:bidi w:val="0"/>
              <w:spacing w:before="0" w:after="283"/>
              <w:jc w:val="left"/>
              <w:rPr/>
            </w:pPr>
            <w:r>
              <w:rPr/>
              <w:t>Issuance upon exercise of stock options</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86" w:type="dxa"/>
            <w:tcBorders>
              <w:bottom w:val="single" w:sz="12" w:space="0" w:color="000000"/>
            </w:tcBorders>
            <w:shd w:fill="FFFFFF" w:val="clear"/>
            <w:tcMar>
              <w:bottom w:w="28" w:type="dxa"/>
            </w:tcMar>
            <w:vAlign w:val="center"/>
          </w:tcPr>
          <w:p>
            <w:pPr>
              <w:pStyle w:val="TableContents"/>
              <w:bidi w:val="0"/>
              <w:spacing w:before="0" w:after="283"/>
              <w:jc w:val="right"/>
              <w:rPr/>
            </w:pPr>
            <w:r>
              <w:rPr/>
              <w:t>35,237</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3" w:type="dxa"/>
            <w:tcBorders>
              <w:bottom w:val="single" w:sz="12" w:space="0" w:color="000000"/>
            </w:tcBorders>
            <w:shd w:fill="FFFFFF" w:val="clear"/>
            <w:tcMar>
              <w:bottom w:w="28" w:type="dxa"/>
            </w:tcMar>
            <w:vAlign w:val="center"/>
          </w:tcPr>
          <w:p>
            <w:pPr>
              <w:pStyle w:val="TableContents"/>
              <w:bidi w:val="0"/>
              <w:spacing w:before="0" w:after="283"/>
              <w:jc w:val="right"/>
              <w:rPr/>
            </w:pPr>
            <w:r>
              <w:rPr/>
              <w:t>186</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770" w:type="dxa"/>
            <w:tcBorders/>
            <w:shd w:fill="CCEEFF" w:val="clear"/>
            <w:vAlign w:val="center"/>
          </w:tcPr>
          <w:p>
            <w:pPr>
              <w:pStyle w:val="TableContents"/>
              <w:bidi w:val="0"/>
              <w:spacing w:before="0" w:after="283"/>
              <w:jc w:val="left"/>
              <w:rPr/>
            </w:pPr>
            <w:r>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8" w:type="dxa"/>
            <w:tcBorders>
              <w:bottom w:val="double" w:sz="10" w:space="0" w:color="000000"/>
            </w:tcBorders>
            <w:shd w:fill="CCEEFF" w:val="clear"/>
            <w:tcMar>
              <w:bottom w:w="28" w:type="dxa"/>
            </w:tcMar>
            <w:vAlign w:val="center"/>
          </w:tcPr>
          <w:p>
            <w:pPr>
              <w:pStyle w:val="TableContents"/>
              <w:bidi w:val="0"/>
              <w:spacing w:before="0" w:after="283"/>
              <w:jc w:val="right"/>
              <w:rPr/>
            </w:pPr>
            <w:r>
              <w:rPr/>
              <w:t>4,854,733</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42" w:type="dxa"/>
            <w:tcBorders>
              <w:bottom w:val="double" w:sz="10" w:space="0" w:color="000000"/>
            </w:tcBorders>
            <w:shd w:fill="CCEEFF" w:val="clear"/>
            <w:tcMar>
              <w:bottom w:w="28" w:type="dxa"/>
            </w:tcMar>
            <w:vAlign w:val="center"/>
          </w:tcPr>
          <w:p>
            <w:pPr>
              <w:pStyle w:val="TableContents"/>
              <w:bidi w:val="0"/>
              <w:spacing w:before="0" w:after="283"/>
              <w:jc w:val="right"/>
              <w:rPr/>
            </w:pPr>
            <w:r>
              <w:rPr/>
              <w:t>7,096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586" w:type="dxa"/>
            <w:tcBorders>
              <w:bottom w:val="double" w:sz="10" w:space="0" w:color="000000"/>
            </w:tcBorders>
            <w:shd w:fill="CCEEFF" w:val="clear"/>
            <w:tcMar>
              <w:bottom w:w="28" w:type="dxa"/>
            </w:tcMar>
            <w:vAlign w:val="center"/>
          </w:tcPr>
          <w:p>
            <w:pPr>
              <w:pStyle w:val="TableContents"/>
              <w:bidi w:val="0"/>
              <w:spacing w:before="0" w:after="283"/>
              <w:jc w:val="right"/>
              <w:rPr/>
            </w:pPr>
            <w:r>
              <w:rPr/>
              <w:t>105,067</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7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3" w:type="dxa"/>
            <w:tcBorders>
              <w:bottom w:val="double" w:sz="10" w:space="0" w:color="000000"/>
            </w:tcBorders>
            <w:shd w:fill="CCEEFF" w:val="clear"/>
            <w:tcMar>
              <w:bottom w:w="28" w:type="dxa"/>
            </w:tcMar>
            <w:vAlign w:val="center"/>
          </w:tcPr>
          <w:p>
            <w:pPr>
              <w:pStyle w:val="TableContents"/>
              <w:bidi w:val="0"/>
              <w:spacing w:before="0" w:after="283"/>
              <w:jc w:val="right"/>
              <w:rPr/>
            </w:pPr>
            <w:r>
              <w:rPr/>
              <w:t>489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335"/>
        <w:gridCol w:w="2795"/>
      </w:tblGrid>
      <w:tr>
        <w:trPr/>
        <w:tc>
          <w:tcPr>
            <w:tcW w:w="335" w:type="dxa"/>
            <w:tcBorders/>
            <w:vAlign w:val="center"/>
          </w:tcPr>
          <w:p>
            <w:pPr>
              <w:pStyle w:val="TableContents"/>
              <w:bidi w:val="0"/>
              <w:spacing w:before="0" w:after="283"/>
              <w:jc w:val="left"/>
              <w:rPr>
                <w:b/>
              </w:rPr>
            </w:pPr>
            <w:r>
              <w:rPr>
                <w:b/>
              </w:rPr>
              <w:t>12.</w:t>
            </w:r>
          </w:p>
        </w:tc>
        <w:tc>
          <w:tcPr>
            <w:tcW w:w="2795" w:type="dxa"/>
            <w:tcBorders/>
            <w:vAlign w:val="center"/>
          </w:tcPr>
          <w:p>
            <w:pPr>
              <w:pStyle w:val="TableContents"/>
              <w:bidi w:val="0"/>
              <w:spacing w:before="0" w:after="283"/>
              <w:jc w:val="both"/>
              <w:rPr>
                <w:b/>
              </w:rPr>
            </w:pPr>
            <w:r>
              <w:rPr>
                <w:b/>
              </w:rPr>
              <w:t>Stock-based compensation: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Old Xanadu’s 2017 Equity Incentive Plan (the “2017 Plan”), the Board of Directors is authorized to grant restricted shares and stock options for up to 1,393,773 non-voting common shares.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2018, the Board of Directors approved the 2018 Equity Incentive Plan (the “2018 Plan”). The total option pool available for grant was 5,749,323 non-voting common shares under the 2018 Plan. As of December 31, 2025, 873,830 and nil options are still available for grant under the 2018 Plan and the 2017 Plan,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options granted to date under the 2017 Plan and 2018 Plan have a service condition with the following vesting terms: (a) 25% of the options granted vest on a date that is one year after the date of grant and (b) the remaining unvested options vest in equal monthly installments for an additional 36 months.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options terms initially dictated that the options would expire 10 years from the original grant date and 90 days from an employee’s termination date. On September 5, 2025, a resolution was passed to extend the exercise period of options granted to certain terminated employees to June 30, 2026 and in the case of one employee to November 27, 2026. During the year ended December 31, 2025, Old Xanadu recorded $97 in stock option expense related to these modifications. There are no further amounts to recognize as all awards impacted had vested at the time of modification.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F-65</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i w:val="false"/>
          <w:caps w:val="false"/>
          <w:smallCaps w:val="false"/>
          <w:sz w:val="20"/>
        </w:rPr>
        <w:br/>
        <w:t>Notes to the Consolidated Statements</w:t>
        <w:br/>
        <w:t>(In thousands, except for share and per share amounts)</w:t>
      </w:r>
    </w:p>
    <w:p>
      <w:pPr>
        <w:pStyle w:val="TextBody"/>
        <w:bidi w:val="0"/>
        <w:spacing w:before="0" w:after="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335"/>
        <w:gridCol w:w="3470"/>
      </w:tblGrid>
      <w:tr>
        <w:trPr/>
        <w:tc>
          <w:tcPr>
            <w:tcW w:w="335" w:type="dxa"/>
            <w:tcBorders/>
            <w:vAlign w:val="center"/>
          </w:tcPr>
          <w:p>
            <w:pPr>
              <w:pStyle w:val="TableContents"/>
              <w:bidi w:val="0"/>
              <w:spacing w:before="0" w:after="283"/>
              <w:jc w:val="left"/>
              <w:rPr>
                <w:b/>
              </w:rPr>
            </w:pPr>
            <w:r>
              <w:rPr>
                <w:b/>
              </w:rPr>
              <w:t>12.</w:t>
            </w:r>
          </w:p>
        </w:tc>
        <w:tc>
          <w:tcPr>
            <w:tcW w:w="3470" w:type="dxa"/>
            <w:tcBorders/>
            <w:vAlign w:val="center"/>
          </w:tcPr>
          <w:p>
            <w:pPr>
              <w:pStyle w:val="TableContents"/>
              <w:bidi w:val="0"/>
              <w:spacing w:before="0" w:after="283"/>
              <w:jc w:val="both"/>
              <w:rPr/>
            </w:pPr>
            <w:r>
              <w:rPr>
                <w:b/>
              </w:rPr>
              <w:t xml:space="preserve">Stock-based compensation: </w:t>
            </w:r>
            <w:r>
              <w:rPr/>
              <w:t>(cont.)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Old Xanadu’s stock options activity during the years ended December 31, 2025, 2024, and 2023:</w:t>
      </w:r>
    </w:p>
    <w:p>
      <w:pPr>
        <w:pStyle w:val="TextBody"/>
        <w:bidi w:val="0"/>
        <w:spacing w:before="0" w:after="0"/>
        <w:ind w:left="360" w:right="0" w:hanging="0"/>
        <w:jc w:val="both"/>
        <w:rPr>
          <w:caps w:val="false"/>
          <w:smallCaps w:val="false"/>
        </w:rPr>
      </w:pPr>
      <w:r>
        <w:rPr>
          <w:caps w:val="false"/>
          <w:smallCaps w:val="false"/>
        </w:rPr>
        <w:t> </w:t>
      </w:r>
    </w:p>
    <w:tbl>
      <w:tblPr>
        <w:tblW w:w="9743" w:type="dxa"/>
        <w:jc w:val="left"/>
        <w:tblInd w:w="0" w:type="dxa"/>
        <w:tblLayout w:type="fixed"/>
        <w:tblCellMar>
          <w:top w:w="0" w:type="dxa"/>
          <w:left w:w="0" w:type="dxa"/>
          <w:bottom w:w="0" w:type="dxa"/>
          <w:right w:w="0" w:type="dxa"/>
        </w:tblCellMar>
      </w:tblPr>
      <w:tblGrid>
        <w:gridCol w:w="3575"/>
        <w:gridCol w:w="60"/>
        <w:gridCol w:w="68"/>
        <w:gridCol w:w="1121"/>
        <w:gridCol w:w="60"/>
        <w:gridCol w:w="60"/>
        <w:gridCol w:w="346"/>
        <w:gridCol w:w="1384"/>
        <w:gridCol w:w="60"/>
        <w:gridCol w:w="60"/>
        <w:gridCol w:w="150"/>
        <w:gridCol w:w="1100"/>
        <w:gridCol w:w="60"/>
        <w:gridCol w:w="60"/>
        <w:gridCol w:w="223"/>
        <w:gridCol w:w="1281"/>
        <w:gridCol w:w="75"/>
      </w:tblGrid>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Number of </w:t>
              <w:b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w:t>
              <w:br/>
              <w:t xml:space="preserve">average exercise </w:t>
              <w:br/>
              <w:t xml:space="preserve">price </w:t>
              <w:br/>
              <w:t>(CAD)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w:t>
              <w:br/>
              <w:t xml:space="preserve">average </w:t>
              <w:br/>
              <w:t xml:space="preserve">remaining </w:t>
              <w:br/>
              <w:t xml:space="preserve">contractual </w:t>
              <w:br/>
              <w:t>term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Aggregate </w:t>
              <w:br/>
              <w:t xml:space="preserve">intrinsic value </w:t>
              <w:br/>
              <w:t>(CAD)</w:t>
            </w:r>
          </w:p>
        </w:tc>
        <w:tc>
          <w:tcPr>
            <w:tcW w:w="75" w:type="dxa"/>
            <w:tcBorders/>
            <w:vAlign w:val="center"/>
          </w:tcPr>
          <w:p>
            <w:pPr>
              <w:pStyle w:val="TableContents"/>
              <w:bidi w:val="0"/>
              <w:spacing w:before="0" w:after="283"/>
              <w:ind w:left="0" w:right="0" w:hanging="200"/>
              <w:jc w:val="left"/>
              <w:rPr/>
            </w:pPr>
            <w:r>
              <w:rPr/>
              <w:t> </w:t>
            </w:r>
          </w:p>
        </w:tc>
      </w:tr>
      <w:tr>
        <w:trPr/>
        <w:tc>
          <w:tcPr>
            <w:tcW w:w="3575" w:type="dxa"/>
            <w:tcBorders/>
            <w:shd w:fill="CCEEFF" w:val="clear"/>
            <w:vAlign w:val="center"/>
          </w:tcPr>
          <w:p>
            <w:pPr>
              <w:pStyle w:val="TableContents"/>
              <w:bidi w:val="0"/>
              <w:spacing w:before="0" w:after="283"/>
              <w:jc w:val="left"/>
              <w:rPr/>
            </w:pPr>
            <w:r>
              <w:rPr/>
              <w:t>Balance as of January 1, 2023</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1,857,041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w:t>
            </w:r>
          </w:p>
        </w:tc>
        <w:tc>
          <w:tcPr>
            <w:tcW w:w="1384" w:type="dxa"/>
            <w:tcBorders/>
            <w:shd w:fill="CCEEFF" w:val="clear"/>
            <w:vAlign w:val="center"/>
          </w:tcPr>
          <w:p>
            <w:pPr>
              <w:pStyle w:val="TableContents"/>
              <w:bidi w:val="0"/>
              <w:spacing w:before="0" w:after="283"/>
              <w:jc w:val="right"/>
              <w:rPr/>
            </w:pPr>
            <w:r>
              <w:rPr/>
              <w:t>4.64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281" w:type="dxa"/>
            <w:tcBorders/>
            <w:shd w:fill="CCEEFF" w:val="clear"/>
            <w:vAlign w:val="center"/>
          </w:tcPr>
          <w:p>
            <w:pPr>
              <w:pStyle w:val="TableContents"/>
              <w:bidi w:val="0"/>
              <w:spacing w:before="0" w:after="283"/>
              <w:jc w:val="right"/>
              <w:rPr/>
            </w:pPr>
            <w:r>
              <w:rPr/>
              <w:t>23,307</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57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1,830,772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17.63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57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40,377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3.86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575" w:type="dxa"/>
            <w:tcBorders/>
            <w:shd w:fill="FFFFFF" w:val="clear"/>
            <w:vAlign w:val="center"/>
          </w:tcPr>
          <w:p>
            <w:pPr>
              <w:pStyle w:val="TableContents"/>
              <w:bidi w:val="0"/>
              <w:spacing w:before="0" w:after="283"/>
              <w:jc w:val="left"/>
              <w:rPr/>
            </w:pPr>
            <w:r>
              <w:rPr/>
              <w:t>Expired and forfeited</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214,454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14.20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575" w:type="dxa"/>
            <w:tcBorders/>
            <w:shd w:fill="CCEEFF" w:val="clear"/>
            <w:vAlign w:val="center"/>
          </w:tcPr>
          <w:p>
            <w:pPr>
              <w:pStyle w:val="TableContents"/>
              <w:bidi w:val="0"/>
              <w:spacing w:before="0" w:after="283"/>
              <w:jc w:val="left"/>
              <w:rPr/>
            </w:pPr>
            <w:r>
              <w:rPr/>
              <w:t>Balance as of December 31, 2023</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3,432,982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w:t>
            </w:r>
          </w:p>
        </w:tc>
        <w:tc>
          <w:tcPr>
            <w:tcW w:w="1384" w:type="dxa"/>
            <w:tcBorders/>
            <w:shd w:fill="CCEEFF" w:val="clear"/>
            <w:vAlign w:val="center"/>
          </w:tcPr>
          <w:p>
            <w:pPr>
              <w:pStyle w:val="TableContents"/>
              <w:bidi w:val="0"/>
              <w:spacing w:before="0" w:after="283"/>
              <w:jc w:val="right"/>
              <w:rPr/>
            </w:pPr>
            <w:r>
              <w:rPr/>
              <w:t>10.98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281" w:type="dxa"/>
            <w:tcBorders/>
            <w:shd w:fill="CCEEFF" w:val="clear"/>
            <w:vAlign w:val="center"/>
          </w:tcPr>
          <w:p>
            <w:pPr>
              <w:pStyle w:val="TableContents"/>
              <w:bidi w:val="0"/>
              <w:spacing w:before="0" w:after="283"/>
              <w:jc w:val="right"/>
              <w:rPr/>
            </w:pPr>
            <w:r>
              <w:rPr/>
              <w:t>26,440</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57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685,875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18.79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57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12,103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9.19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575" w:type="dxa"/>
            <w:tcBorders/>
            <w:shd w:fill="FFFFFF" w:val="clear"/>
            <w:vAlign w:val="center"/>
          </w:tcPr>
          <w:p>
            <w:pPr>
              <w:pStyle w:val="TableContents"/>
              <w:bidi w:val="0"/>
              <w:spacing w:before="0" w:after="283"/>
              <w:jc w:val="left"/>
              <w:rPr/>
            </w:pPr>
            <w:r>
              <w:rPr/>
              <w:t>Expired and forfeited</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1" w:type="dxa"/>
            <w:tcBorders>
              <w:bottom w:val="single" w:sz="12" w:space="0" w:color="000000"/>
            </w:tcBorders>
            <w:shd w:fill="FFFFFF" w:val="clear"/>
            <w:tcMar>
              <w:bottom w:w="28" w:type="dxa"/>
            </w:tcMar>
            <w:vAlign w:val="center"/>
          </w:tcPr>
          <w:p>
            <w:pPr>
              <w:pStyle w:val="TableContents"/>
              <w:bidi w:val="0"/>
              <w:spacing w:before="0" w:after="283"/>
              <w:jc w:val="right"/>
              <w:rPr/>
            </w:pPr>
            <w:r>
              <w:rPr/>
              <w:t>235,326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84" w:type="dxa"/>
            <w:tcBorders>
              <w:bottom w:val="single" w:sz="12" w:space="0" w:color="000000"/>
            </w:tcBorders>
            <w:shd w:fill="FFFFFF" w:val="clear"/>
            <w:tcMar>
              <w:bottom w:w="28" w:type="dxa"/>
            </w:tcMar>
            <w:vAlign w:val="center"/>
          </w:tcPr>
          <w:p>
            <w:pPr>
              <w:pStyle w:val="TableContents"/>
              <w:bidi w:val="0"/>
              <w:spacing w:before="0" w:after="283"/>
              <w:jc w:val="right"/>
              <w:rPr/>
            </w:pPr>
            <w:r>
              <w:rPr/>
              <w:t>13.28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575" w:type="dxa"/>
            <w:tcBorders/>
            <w:shd w:fill="CCEEFF" w:val="clear"/>
            <w:vAlign w:val="center"/>
          </w:tcPr>
          <w:p>
            <w:pPr>
              <w:pStyle w:val="TableContents"/>
              <w:bidi w:val="0"/>
              <w:spacing w:before="0" w:after="283"/>
              <w:jc w:val="left"/>
              <w:rPr/>
            </w:pPr>
            <w:r>
              <w:rPr/>
              <w:t>Balance as of December 31, 2024</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1" w:type="dxa"/>
            <w:tcBorders>
              <w:bottom w:val="single" w:sz="12" w:space="0" w:color="000000"/>
            </w:tcBorders>
            <w:shd w:fill="CCEEFF" w:val="clear"/>
            <w:tcMar>
              <w:bottom w:w="28" w:type="dxa"/>
            </w:tcMar>
            <w:vAlign w:val="center"/>
          </w:tcPr>
          <w:p>
            <w:pPr>
              <w:pStyle w:val="TableContents"/>
              <w:bidi w:val="0"/>
              <w:spacing w:before="0" w:after="283"/>
              <w:jc w:val="right"/>
              <w:rPr/>
            </w:pPr>
            <w:r>
              <w:rPr/>
              <w:t>3,871,428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84" w:type="dxa"/>
            <w:tcBorders>
              <w:bottom w:val="single" w:sz="12" w:space="0" w:color="000000"/>
            </w:tcBorders>
            <w:shd w:fill="CCEEFF" w:val="clear"/>
            <w:tcMar>
              <w:bottom w:w="28" w:type="dxa"/>
            </w:tcMar>
            <w:vAlign w:val="center"/>
          </w:tcPr>
          <w:p>
            <w:pPr>
              <w:pStyle w:val="TableContents"/>
              <w:bidi w:val="0"/>
              <w:spacing w:before="0" w:after="283"/>
              <w:jc w:val="right"/>
              <w:rPr/>
            </w:pPr>
            <w:r>
              <w:rPr/>
              <w:t>12.23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7.42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81" w:type="dxa"/>
            <w:tcBorders>
              <w:bottom w:val="single" w:sz="12" w:space="0" w:color="000000"/>
            </w:tcBorders>
            <w:shd w:fill="CCEEFF" w:val="clear"/>
            <w:tcMar>
              <w:bottom w:w="28" w:type="dxa"/>
            </w:tcMar>
            <w:vAlign w:val="center"/>
          </w:tcPr>
          <w:p>
            <w:pPr>
              <w:pStyle w:val="TableContents"/>
              <w:bidi w:val="0"/>
              <w:spacing w:before="0" w:after="283"/>
              <w:jc w:val="right"/>
              <w:rPr/>
            </w:pPr>
            <w:r>
              <w:rPr/>
              <w:t>25,987</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57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804,768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47.48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57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35,237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5.02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575" w:type="dxa"/>
            <w:tcBorders/>
            <w:shd w:fill="FFFFFF" w:val="clear"/>
            <w:vAlign w:val="center"/>
          </w:tcPr>
          <w:p>
            <w:pPr>
              <w:pStyle w:val="TableContents"/>
              <w:bidi w:val="0"/>
              <w:spacing w:before="0" w:after="283"/>
              <w:jc w:val="left"/>
              <w:rPr/>
            </w:pPr>
            <w:r>
              <w:rPr/>
              <w:t>Expired and forfeited</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1" w:type="dxa"/>
            <w:tcBorders>
              <w:bottom w:val="single" w:sz="12" w:space="0" w:color="000000"/>
            </w:tcBorders>
            <w:shd w:fill="FFFFFF" w:val="clear"/>
            <w:tcMar>
              <w:bottom w:w="28" w:type="dxa"/>
            </w:tcMar>
            <w:vAlign w:val="center"/>
          </w:tcPr>
          <w:p>
            <w:pPr>
              <w:pStyle w:val="TableContents"/>
              <w:bidi w:val="0"/>
              <w:spacing w:before="0" w:after="283"/>
              <w:jc w:val="right"/>
              <w:rPr/>
            </w:pPr>
            <w:r>
              <w:rPr/>
              <w:t>255,269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84" w:type="dxa"/>
            <w:tcBorders>
              <w:bottom w:val="single" w:sz="12" w:space="0" w:color="000000"/>
            </w:tcBorders>
            <w:shd w:fill="FFFFFF" w:val="clear"/>
            <w:tcMar>
              <w:bottom w:w="28" w:type="dxa"/>
            </w:tcMar>
            <w:vAlign w:val="center"/>
          </w:tcPr>
          <w:p>
            <w:pPr>
              <w:pStyle w:val="TableContents"/>
              <w:bidi w:val="0"/>
              <w:spacing w:before="0" w:after="283"/>
              <w:jc w:val="right"/>
              <w:rPr/>
            </w:pPr>
            <w:r>
              <w:rPr/>
              <w:t>18.16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575" w:type="dxa"/>
            <w:tcBorders/>
            <w:shd w:fill="CCEEFF" w:val="clear"/>
            <w:vAlign w:val="center"/>
          </w:tcPr>
          <w:p>
            <w:pPr>
              <w:pStyle w:val="TableContents"/>
              <w:bidi w:val="0"/>
              <w:spacing w:before="0" w:after="283"/>
              <w:jc w:val="left"/>
              <w:rPr/>
            </w:pPr>
            <w:r>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1" w:type="dxa"/>
            <w:tcBorders>
              <w:bottom w:val="single" w:sz="12" w:space="0" w:color="000000"/>
            </w:tcBorders>
            <w:shd w:fill="CCEEFF" w:val="clear"/>
            <w:tcMar>
              <w:bottom w:w="28" w:type="dxa"/>
            </w:tcMar>
            <w:vAlign w:val="center"/>
          </w:tcPr>
          <w:p>
            <w:pPr>
              <w:pStyle w:val="TableContents"/>
              <w:bidi w:val="0"/>
              <w:spacing w:before="0" w:after="283"/>
              <w:jc w:val="right"/>
              <w:rPr/>
            </w:pPr>
            <w:r>
              <w:rPr/>
              <w:t>4,385,690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84" w:type="dxa"/>
            <w:tcBorders>
              <w:bottom w:val="single" w:sz="12" w:space="0" w:color="000000"/>
            </w:tcBorders>
            <w:shd w:fill="CCEEFF" w:val="clear"/>
            <w:tcMar>
              <w:bottom w:w="28" w:type="dxa"/>
            </w:tcMar>
            <w:vAlign w:val="center"/>
          </w:tcPr>
          <w:p>
            <w:pPr>
              <w:pStyle w:val="TableContents"/>
              <w:bidi w:val="0"/>
              <w:spacing w:before="0" w:after="283"/>
              <w:jc w:val="right"/>
              <w:rPr/>
            </w:pPr>
            <w:r>
              <w:rPr/>
              <w:t>18.34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81" w:type="dxa"/>
            <w:tcBorders>
              <w:bottom w:val="single" w:sz="12" w:space="0" w:color="000000"/>
            </w:tcBorders>
            <w:shd w:fill="CCEEFF" w:val="clear"/>
            <w:tcMar>
              <w:bottom w:w="28" w:type="dxa"/>
            </w:tcMar>
            <w:vAlign w:val="center"/>
          </w:tcPr>
          <w:p>
            <w:pPr>
              <w:pStyle w:val="TableContents"/>
              <w:bidi w:val="0"/>
              <w:spacing w:before="0" w:after="283"/>
              <w:jc w:val="right"/>
              <w:rPr/>
            </w:pPr>
            <w:r>
              <w:rPr/>
              <w:t>397,700</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575" w:type="dxa"/>
            <w:tcBorders/>
            <w:shd w:fill="FFFFFF" w:val="clear"/>
            <w:vAlign w:val="center"/>
          </w:tcPr>
          <w:p>
            <w:pPr>
              <w:pStyle w:val="TableContents"/>
              <w:bidi w:val="0"/>
              <w:spacing w:before="0" w:after="283"/>
              <w:jc w:val="left"/>
              <w:rPr/>
            </w:pPr>
            <w:r>
              <w:rPr/>
              <w:t>Exercisable as of December 31, 2025</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1" w:type="dxa"/>
            <w:tcBorders>
              <w:bottom w:val="single" w:sz="12" w:space="0" w:color="000000"/>
            </w:tcBorders>
            <w:shd w:fill="FFFFFF" w:val="clear"/>
            <w:tcMar>
              <w:bottom w:w="28" w:type="dxa"/>
            </w:tcMar>
            <w:vAlign w:val="center"/>
          </w:tcPr>
          <w:p>
            <w:pPr>
              <w:pStyle w:val="TableContents"/>
              <w:bidi w:val="0"/>
              <w:spacing w:before="0" w:after="283"/>
              <w:jc w:val="right"/>
              <w:rPr/>
            </w:pPr>
            <w:r>
              <w:rPr/>
              <w:t>2,758,736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384" w:type="dxa"/>
            <w:tcBorders>
              <w:bottom w:val="single" w:sz="12" w:space="0" w:color="000000"/>
            </w:tcBorders>
            <w:shd w:fill="FFFFFF" w:val="clear"/>
            <w:tcMar>
              <w:bottom w:w="28" w:type="dxa"/>
            </w:tcMar>
            <w:vAlign w:val="center"/>
          </w:tcPr>
          <w:p>
            <w:pPr>
              <w:pStyle w:val="TableContents"/>
              <w:bidi w:val="0"/>
              <w:spacing w:before="0" w:after="283"/>
              <w:jc w:val="right"/>
              <w:rPr/>
            </w:pPr>
            <w:r>
              <w:rPr/>
              <w:t>10.07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5.33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81" w:type="dxa"/>
            <w:tcBorders>
              <w:bottom w:val="single" w:sz="12" w:space="0" w:color="000000"/>
            </w:tcBorders>
            <w:shd w:fill="FFFFFF" w:val="clear"/>
            <w:tcMar>
              <w:bottom w:w="28" w:type="dxa"/>
            </w:tcMar>
            <w:vAlign w:val="center"/>
          </w:tcPr>
          <w:p>
            <w:pPr>
              <w:pStyle w:val="TableContents"/>
              <w:bidi w:val="0"/>
              <w:spacing w:before="0" w:after="283"/>
              <w:jc w:val="right"/>
              <w:rPr/>
            </w:pPr>
            <w:r>
              <w:rPr/>
              <w:t>272,990</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575" w:type="dxa"/>
            <w:tcBorders/>
            <w:shd w:fill="CCEEFF" w:val="clear"/>
            <w:vAlign w:val="center"/>
          </w:tcPr>
          <w:p>
            <w:pPr>
              <w:pStyle w:val="TableContents"/>
              <w:bidi w:val="0"/>
              <w:spacing w:before="0" w:after="283"/>
              <w:jc w:val="left"/>
              <w:rPr/>
            </w:pPr>
            <w:r>
              <w:rPr/>
              <w:t>Unvested as of December 31, 2025</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21" w:type="dxa"/>
            <w:tcBorders>
              <w:bottom w:val="double" w:sz="10" w:space="0" w:color="000000"/>
            </w:tcBorders>
            <w:shd w:fill="CCEEFF" w:val="clear"/>
            <w:tcMar>
              <w:bottom w:w="28" w:type="dxa"/>
            </w:tcMar>
            <w:vAlign w:val="center"/>
          </w:tcPr>
          <w:p>
            <w:pPr>
              <w:pStyle w:val="TableContents"/>
              <w:bidi w:val="0"/>
              <w:spacing w:before="0" w:after="283"/>
              <w:jc w:val="right"/>
              <w:rPr/>
            </w:pPr>
            <w:r>
              <w:rPr/>
              <w:t>1,626,954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84" w:type="dxa"/>
            <w:tcBorders>
              <w:bottom w:val="double" w:sz="10" w:space="0" w:color="000000"/>
            </w:tcBorders>
            <w:shd w:fill="CCEEFF" w:val="clear"/>
            <w:tcMar>
              <w:bottom w:w="28" w:type="dxa"/>
            </w:tcMar>
            <w:vAlign w:val="center"/>
          </w:tcPr>
          <w:p>
            <w:pPr>
              <w:pStyle w:val="TableContents"/>
              <w:bidi w:val="0"/>
              <w:spacing w:before="0" w:after="283"/>
              <w:jc w:val="right"/>
              <w:rPr/>
            </w:pPr>
            <w:r>
              <w:rPr/>
              <w:t>32.37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8.89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81" w:type="dxa"/>
            <w:tcBorders>
              <w:bottom w:val="double" w:sz="10" w:space="0" w:color="000000"/>
            </w:tcBorders>
            <w:shd w:fill="CCEEFF" w:val="clear"/>
            <w:tcMar>
              <w:bottom w:w="28" w:type="dxa"/>
            </w:tcMar>
            <w:vAlign w:val="center"/>
          </w:tcPr>
          <w:p>
            <w:pPr>
              <w:pStyle w:val="TableContents"/>
              <w:bidi w:val="0"/>
              <w:spacing w:before="0" w:after="283"/>
              <w:jc w:val="right"/>
              <w:rPr/>
            </w:pPr>
            <w:r>
              <w:rPr/>
              <w:t>124,710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options granted was estimated on the date of grant using the Black-Scholes option pricing model with the following assumptions:</w:t>
      </w:r>
    </w:p>
    <w:p>
      <w:pPr>
        <w:pStyle w:val="TextBody"/>
        <w:bidi w:val="0"/>
        <w:spacing w:before="0" w:after="0"/>
        <w:jc w:val="both"/>
        <w:rPr>
          <w:caps w:val="false"/>
          <w:smallCaps w:val="false"/>
        </w:rPr>
      </w:pPr>
      <w:r>
        <w:rPr>
          <w:caps w:val="false"/>
          <w:smallCaps w:val="false"/>
        </w:rPr>
        <w:t> </w:t>
      </w:r>
    </w:p>
    <w:tbl>
      <w:tblPr>
        <w:tblW w:w="9530" w:type="dxa"/>
        <w:jc w:val="left"/>
        <w:tblInd w:w="0" w:type="dxa"/>
        <w:tblLayout w:type="fixed"/>
        <w:tblCellMar>
          <w:top w:w="0" w:type="dxa"/>
          <w:left w:w="0" w:type="dxa"/>
          <w:bottom w:w="0" w:type="dxa"/>
          <w:right w:w="0" w:type="dxa"/>
        </w:tblCellMar>
      </w:tblPr>
      <w:tblGrid>
        <w:gridCol w:w="6590"/>
        <w:gridCol w:w="60"/>
        <w:gridCol w:w="140"/>
        <w:gridCol w:w="560"/>
        <w:gridCol w:w="215"/>
        <w:gridCol w:w="60"/>
        <w:gridCol w:w="140"/>
        <w:gridCol w:w="560"/>
        <w:gridCol w:w="215"/>
        <w:gridCol w:w="60"/>
        <w:gridCol w:w="140"/>
        <w:gridCol w:w="560"/>
        <w:gridCol w:w="230"/>
      </w:tblGrid>
      <w:tr>
        <w:trPr/>
        <w:tc>
          <w:tcPr>
            <w:tcW w:w="6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30" w:type="dxa"/>
            <w:tcBorders/>
            <w:vAlign w:val="center"/>
          </w:tcPr>
          <w:p>
            <w:pPr>
              <w:pStyle w:val="TableContents"/>
              <w:bidi w:val="0"/>
              <w:spacing w:before="0" w:after="283"/>
              <w:ind w:left="0" w:right="0" w:hanging="200"/>
              <w:jc w:val="left"/>
              <w:rPr/>
            </w:pPr>
            <w:r>
              <w:rPr/>
              <w:t> </w:t>
            </w:r>
          </w:p>
        </w:tc>
      </w:tr>
      <w:tr>
        <w:trPr/>
        <w:tc>
          <w:tcPr>
            <w:tcW w:w="6590" w:type="dxa"/>
            <w:tcBorders/>
            <w:shd w:fill="CCEEFF" w:val="clear"/>
            <w:vAlign w:val="center"/>
          </w:tcPr>
          <w:p>
            <w:pPr>
              <w:pStyle w:val="TableContents"/>
              <w:bidi w:val="0"/>
              <w:spacing w:before="0" w:after="283"/>
              <w:jc w:val="left"/>
              <w:rPr/>
            </w:pPr>
            <w:r>
              <w:rPr/>
              <w:t>Dividend yield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ind w:left="0" w:right="0" w:hanging="200"/>
              <w:jc w:val="left"/>
              <w:rPr/>
            </w:pPr>
            <w:r>
              <w:rPr/>
              <w:t> </w:t>
            </w:r>
          </w:p>
        </w:tc>
      </w:tr>
      <w:tr>
        <w:trPr/>
        <w:tc>
          <w:tcPr>
            <w:tcW w:w="6590" w:type="dxa"/>
            <w:tcBorders/>
            <w:shd w:fill="FFFFFF" w:val="clear"/>
            <w:vAlign w:val="center"/>
          </w:tcPr>
          <w:p>
            <w:pPr>
              <w:pStyle w:val="TableContents"/>
              <w:bidi w:val="0"/>
              <w:spacing w:before="0" w:after="283"/>
              <w:jc w:val="left"/>
              <w:rPr/>
            </w:pPr>
            <w:r>
              <w:rPr/>
              <w:t>Risk free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3.87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4.28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3.94</w:t>
            </w:r>
          </w:p>
        </w:tc>
        <w:tc>
          <w:tcPr>
            <w:tcW w:w="230" w:type="dxa"/>
            <w:tcBorders/>
            <w:shd w:fill="FFFFFF" w:val="clear"/>
            <w:vAlign w:val="center"/>
          </w:tcPr>
          <w:p>
            <w:pPr>
              <w:pStyle w:val="TableContents"/>
              <w:bidi w:val="0"/>
              <w:spacing w:before="0" w:after="283"/>
              <w:ind w:left="0" w:right="0" w:hanging="200"/>
              <w:jc w:val="left"/>
              <w:rPr/>
            </w:pPr>
            <w:r>
              <w:rPr/>
              <w:t>%</w:t>
            </w:r>
          </w:p>
        </w:tc>
      </w:tr>
      <w:tr>
        <w:trPr/>
        <w:tc>
          <w:tcPr>
            <w:tcW w:w="6590" w:type="dxa"/>
            <w:tcBorders/>
            <w:shd w:fill="CCEEFF" w:val="clear"/>
            <w:vAlign w:val="center"/>
          </w:tcPr>
          <w:p>
            <w:pPr>
              <w:pStyle w:val="TableContents"/>
              <w:bidi w:val="0"/>
              <w:spacing w:before="0" w:after="283"/>
              <w:jc w:val="left"/>
              <w:rPr>
                <w:sz w:val="20"/>
              </w:rPr>
            </w:pPr>
            <w:r>
              <w:rPr>
                <w:sz w:val="20"/>
              </w:rPr>
              <w:t>Expected volatility</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37.76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37.98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37.75</w:t>
            </w:r>
          </w:p>
        </w:tc>
        <w:tc>
          <w:tcPr>
            <w:tcW w:w="230" w:type="dxa"/>
            <w:tcBorders/>
            <w:shd w:fill="CCEEFF" w:val="clear"/>
            <w:vAlign w:val="center"/>
          </w:tcPr>
          <w:p>
            <w:pPr>
              <w:pStyle w:val="TableContents"/>
              <w:bidi w:val="0"/>
              <w:spacing w:before="0" w:after="283"/>
              <w:ind w:left="0" w:right="0" w:hanging="200"/>
              <w:jc w:val="left"/>
              <w:rPr/>
            </w:pPr>
            <w:r>
              <w:rPr/>
              <w:t>%</w:t>
            </w:r>
          </w:p>
        </w:tc>
      </w:tr>
      <w:tr>
        <w:trPr/>
        <w:tc>
          <w:tcPr>
            <w:tcW w:w="6590" w:type="dxa"/>
            <w:tcBorders/>
            <w:shd w:fill="FFFFFF" w:val="clear"/>
            <w:vAlign w:val="center"/>
          </w:tcPr>
          <w:p>
            <w:pPr>
              <w:pStyle w:val="TableContents"/>
              <w:bidi w:val="0"/>
              <w:spacing w:before="0" w:after="283"/>
              <w:jc w:val="left"/>
              <w:rPr>
                <w:sz w:val="20"/>
              </w:rPr>
            </w:pPr>
            <w:r>
              <w:rPr>
                <w:sz w:val="20"/>
              </w:rPr>
              <w:t>Expected option term (in years)</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6.00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6.00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5.98</w:t>
            </w:r>
          </w:p>
        </w:tc>
        <w:tc>
          <w:tcPr>
            <w:tcW w:w="230" w:type="dxa"/>
            <w:tcBorders/>
            <w:shd w:fill="FFFFFF" w:val="clear"/>
            <w:vAlign w:val="center"/>
          </w:tcPr>
          <w:p>
            <w:pPr>
              <w:pStyle w:val="TableContents"/>
              <w:bidi w:val="0"/>
              <w:spacing w:before="0" w:after="283"/>
              <w:ind w:left="0" w:right="0" w:hanging="200"/>
              <w:jc w:val="left"/>
              <w:rPr/>
            </w:pPr>
            <w:r>
              <w:rPr/>
              <w:t> </w:t>
            </w:r>
          </w:p>
        </w:tc>
      </w:tr>
      <w:tr>
        <w:trPr/>
        <w:tc>
          <w:tcPr>
            <w:tcW w:w="6590" w:type="dxa"/>
            <w:tcBorders/>
            <w:shd w:fill="CCEEFF" w:val="clear"/>
            <w:vAlign w:val="center"/>
          </w:tcPr>
          <w:p>
            <w:pPr>
              <w:pStyle w:val="TableContents"/>
              <w:bidi w:val="0"/>
              <w:spacing w:before="0" w:after="283"/>
              <w:jc w:val="left"/>
              <w:rPr>
                <w:sz w:val="20"/>
              </w:rPr>
            </w:pPr>
            <w:r>
              <w:rPr>
                <w:sz w:val="20"/>
              </w:rPr>
              <w:t>Weighted average fair value of underlying common shares at grant date (CAD)</w:t>
            </w:r>
            <w:r>
              <w:rPr>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47.48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18.94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18.68</w:t>
            </w:r>
          </w:p>
        </w:tc>
        <w:tc>
          <w:tcPr>
            <w:tcW w:w="230" w:type="dxa"/>
            <w:tcBorders/>
            <w:shd w:fill="CCEEFF" w:val="clear"/>
            <w:vAlign w:val="center"/>
          </w:tcPr>
          <w:p>
            <w:pPr>
              <w:pStyle w:val="TableContents"/>
              <w:bidi w:val="0"/>
              <w:spacing w:before="0" w:after="283"/>
              <w:ind w:left="0" w:right="0" w:hanging="200"/>
              <w:jc w:val="left"/>
              <w:rPr/>
            </w:pPr>
            <w:r>
              <w:rPr/>
              <w:t> </w:t>
            </w:r>
          </w:p>
        </w:tc>
      </w:tr>
      <w:tr>
        <w:trPr/>
        <w:tc>
          <w:tcPr>
            <w:tcW w:w="6590" w:type="dxa"/>
            <w:tcBorders/>
            <w:shd w:fill="FFFFFF" w:val="clear"/>
            <w:vAlign w:val="center"/>
          </w:tcPr>
          <w:p>
            <w:pPr>
              <w:pStyle w:val="TableContents"/>
              <w:bidi w:val="0"/>
              <w:spacing w:before="0" w:after="283"/>
              <w:jc w:val="left"/>
              <w:rPr/>
            </w:pPr>
            <w:r>
              <w:rPr/>
              <w:t>Fair value of options granted (CAD)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20.53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8.36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7.72</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305"/>
        <w:gridCol w:w="7715"/>
      </w:tblGrid>
      <w:tr>
        <w:trPr/>
        <w:tc>
          <w:tcPr>
            <w:tcW w:w="305" w:type="dxa"/>
            <w:tcBorders/>
            <w:vAlign w:val="center"/>
          </w:tcPr>
          <w:p>
            <w:pPr>
              <w:pStyle w:val="TableContents"/>
              <w:bidi w:val="0"/>
              <w:spacing w:before="0" w:after="283"/>
              <w:jc w:val="left"/>
              <w:rPr/>
            </w:pPr>
            <w:r>
              <w:rPr/>
              <w:t>(1)</w:t>
            </w:r>
          </w:p>
        </w:tc>
        <w:tc>
          <w:tcPr>
            <w:tcW w:w="7715" w:type="dxa"/>
            <w:tcBorders/>
            <w:vAlign w:val="center"/>
          </w:tcPr>
          <w:p>
            <w:pPr>
              <w:pStyle w:val="TableContents"/>
              <w:bidi w:val="0"/>
              <w:spacing w:before="0" w:after="283"/>
              <w:jc w:val="both"/>
              <w:rPr/>
            </w:pPr>
            <w:r>
              <w:rPr/>
              <w:t>The expected volatility is based on that of comparable publicly traded companies.</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(2)</w:t>
            </w:r>
          </w:p>
        </w:tc>
        <w:tc>
          <w:tcPr>
            <w:tcW w:w="9957" w:type="dxa"/>
            <w:tcBorders/>
            <w:vAlign w:val="center"/>
          </w:tcPr>
          <w:p>
            <w:pPr>
              <w:pStyle w:val="TableContents"/>
              <w:bidi w:val="0"/>
              <w:spacing w:before="0" w:after="283"/>
              <w:jc w:val="both"/>
              <w:rPr/>
            </w:pPr>
            <w:r>
              <w:rPr/>
              <w:t>The expected term of stock options granted was calculated using the simplified method, which represents the average of the contractual term and the weighted-average vesting period of the option. Old Xanadu uses the simplified method because it does not have sufficient historical exercise data for its options to provide a reasonable basis upon which to estimate the expected term.</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(3)</w:t>
            </w:r>
          </w:p>
        </w:tc>
        <w:tc>
          <w:tcPr>
            <w:tcW w:w="9945" w:type="dxa"/>
            <w:tcBorders/>
            <w:vAlign w:val="center"/>
          </w:tcPr>
          <w:p>
            <w:pPr>
              <w:pStyle w:val="TableContents"/>
              <w:bidi w:val="0"/>
              <w:spacing w:before="0" w:after="283"/>
              <w:jc w:val="both"/>
              <w:rPr/>
            </w:pPr>
            <w:r>
              <w:rPr/>
              <w:t>The fair value of underlying common shares was determined by the Board of Directors at each award grant date based on a variety of factors, including the results obtained from an independent third-party valuation, the illiquid nature of Old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F-66</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i w:val="false"/>
          <w:caps w:val="false"/>
          <w:smallCaps w:val="false"/>
          <w:sz w:val="20"/>
        </w:rPr>
        <w:br/>
        <w:t>Notes to the Consolidated Statements</w:t>
        <w:br/>
        <w:t>(In thousands, except for share and per share amounts)</w:t>
      </w:r>
    </w:p>
    <w:p>
      <w:pPr>
        <w:pStyle w:val="TextBody"/>
        <w:bidi w:val="0"/>
        <w:spacing w:before="0" w:after="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335"/>
        <w:gridCol w:w="3470"/>
      </w:tblGrid>
      <w:tr>
        <w:trPr/>
        <w:tc>
          <w:tcPr>
            <w:tcW w:w="335" w:type="dxa"/>
            <w:tcBorders/>
            <w:vAlign w:val="center"/>
          </w:tcPr>
          <w:p>
            <w:pPr>
              <w:pStyle w:val="TableContents"/>
              <w:bidi w:val="0"/>
              <w:spacing w:before="0" w:after="283"/>
              <w:jc w:val="left"/>
              <w:rPr>
                <w:b/>
              </w:rPr>
            </w:pPr>
            <w:r>
              <w:rPr>
                <w:b/>
              </w:rPr>
              <w:t>12.</w:t>
            </w:r>
          </w:p>
        </w:tc>
        <w:tc>
          <w:tcPr>
            <w:tcW w:w="3470" w:type="dxa"/>
            <w:tcBorders/>
            <w:vAlign w:val="center"/>
          </w:tcPr>
          <w:p>
            <w:pPr>
              <w:pStyle w:val="TableContents"/>
              <w:bidi w:val="0"/>
              <w:spacing w:before="0" w:after="283"/>
              <w:jc w:val="both"/>
              <w:rPr/>
            </w:pPr>
            <w:r>
              <w:rPr>
                <w:b/>
              </w:rPr>
              <w:t>Stock-based compensation:</w:t>
            </w:r>
            <w:r>
              <w:rPr/>
              <w:t xml:space="preserve"> (cont.)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Xanadu’s common shares, arm’s-length sales of Old Xanadu’s share capital, the effect of the rights and preferences of the preferred shareholders, and the prospects of a liquidity event, among others.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2024, and 2023, the total intrinsic value of stock options exercised was $1,402, C$116, and C$565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stock-based compensation expense classified in the consolidated statements of operations and comprehensive loss for the years ended December 31, 2025, 2024, and 2023:</w:t>
      </w:r>
    </w:p>
    <w:p>
      <w:pPr>
        <w:pStyle w:val="TextBody"/>
        <w:bidi w:val="0"/>
        <w:spacing w:before="0" w:after="0"/>
        <w:ind w:left="360" w:right="0" w:hanging="0"/>
        <w:jc w:val="both"/>
        <w:rPr>
          <w:caps w:val="false"/>
          <w:smallCaps w:val="false"/>
        </w:rPr>
      </w:pPr>
      <w:r>
        <w:rPr>
          <w:caps w:val="false"/>
          <w:smallCaps w:val="false"/>
        </w:rPr>
        <w:t> </w:t>
      </w:r>
    </w:p>
    <w:tbl>
      <w:tblPr>
        <w:tblW w:w="6365" w:type="dxa"/>
        <w:jc w:val="left"/>
        <w:tblInd w:w="0" w:type="dxa"/>
        <w:tblLayout w:type="fixed"/>
        <w:tblCellMar>
          <w:top w:w="0" w:type="dxa"/>
          <w:left w:w="0" w:type="dxa"/>
          <w:bottom w:w="0" w:type="dxa"/>
          <w:right w:w="0" w:type="dxa"/>
        </w:tblCellMar>
      </w:tblPr>
      <w:tblGrid>
        <w:gridCol w:w="3890"/>
        <w:gridCol w:w="60"/>
        <w:gridCol w:w="140"/>
        <w:gridCol w:w="560"/>
        <w:gridCol w:w="60"/>
        <w:gridCol w:w="60"/>
        <w:gridCol w:w="140"/>
        <w:gridCol w:w="560"/>
        <w:gridCol w:w="60"/>
        <w:gridCol w:w="60"/>
        <w:gridCol w:w="140"/>
        <w:gridCol w:w="560"/>
        <w:gridCol w:w="75"/>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ind w:left="0" w:right="0" w:hanging="200"/>
              <w:jc w:val="left"/>
              <w:rPr/>
            </w:pPr>
            <w:r>
              <w:rPr/>
              <w:t> </w:t>
            </w:r>
          </w:p>
        </w:tc>
      </w:tr>
      <w:tr>
        <w:trPr/>
        <w:tc>
          <w:tcPr>
            <w:tcW w:w="3890"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33</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89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3,048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2,357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1,827</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89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334</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89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12</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890" w:type="dxa"/>
            <w:tcBorders/>
            <w:shd w:fill="CCEEFF" w:val="clear"/>
            <w:vAlign w:val="center"/>
          </w:tcPr>
          <w:p>
            <w:pPr>
              <w:pStyle w:val="TableContents"/>
              <w:bidi w:val="0"/>
              <w:spacing w:before="0" w:after="283"/>
              <w:jc w:val="left"/>
              <w:rPr/>
            </w:pPr>
            <w:r>
              <w:rPr/>
              <w:t>Total stock-based compensation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4,017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2,893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2,206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2024, and 2023, total stock-based compensation capitalized to intangible assets was $251, $nil, and $nil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total unrecognized stock-based compensation cost related to unvested stock options was $15,764. This amount will be recognized over a weighted-average period of approximately 1.66 years.</w:t>
      </w:r>
    </w:p>
    <w:p>
      <w:pPr>
        <w:pStyle w:val="TextBody"/>
        <w:bidi w:val="0"/>
        <w:spacing w:before="0" w:after="0"/>
        <w:jc w:val="both"/>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335"/>
        <w:gridCol w:w="2570"/>
      </w:tblGrid>
      <w:tr>
        <w:trPr/>
        <w:tc>
          <w:tcPr>
            <w:tcW w:w="335" w:type="dxa"/>
            <w:tcBorders/>
            <w:vAlign w:val="center"/>
          </w:tcPr>
          <w:p>
            <w:pPr>
              <w:pStyle w:val="TableContents"/>
              <w:bidi w:val="0"/>
              <w:spacing w:before="0" w:after="283"/>
              <w:jc w:val="left"/>
              <w:rPr>
                <w:b/>
              </w:rPr>
            </w:pPr>
            <w:r>
              <w:rPr>
                <w:b/>
              </w:rPr>
              <w:t>13.</w:t>
            </w:r>
          </w:p>
        </w:tc>
        <w:tc>
          <w:tcPr>
            <w:tcW w:w="2570" w:type="dxa"/>
            <w:tcBorders/>
            <w:vAlign w:val="center"/>
          </w:tcPr>
          <w:p>
            <w:pPr>
              <w:pStyle w:val="TableContents"/>
              <w:bidi w:val="0"/>
              <w:spacing w:before="0" w:after="283"/>
              <w:jc w:val="both"/>
              <w:rPr>
                <w:b/>
              </w:rPr>
            </w:pPr>
            <w:r>
              <w:rPr>
                <w:b/>
              </w:rPr>
              <w:t>Fair value measurement: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Old Xanadu’s cash and cash equivalents, accounts receivable, prepaid expenses and other current assets, accounts payable and accrued expenses and other current liabilities approximate their fair values due to the short-term maturity of these instruments. Apart from these instruments, the carrying amounts and fair values of Old Xanadu’s financial assets and liabilities were as follows as of December 31, 2025, 2024, and 2023:</w:t>
      </w:r>
    </w:p>
    <w:p>
      <w:pPr>
        <w:pStyle w:val="TextBody"/>
        <w:bidi w:val="0"/>
        <w:spacing w:before="0" w:after="0"/>
        <w:ind w:left="360" w:right="0" w:hanging="0"/>
        <w:jc w:val="both"/>
        <w:rPr>
          <w:caps w:val="false"/>
          <w:smallCaps w:val="false"/>
        </w:rPr>
      </w:pPr>
      <w:r>
        <w:rPr>
          <w:caps w:val="false"/>
          <w:smallCaps w:val="false"/>
        </w:rPr>
        <w:t> </w:t>
      </w:r>
    </w:p>
    <w:tbl>
      <w:tblPr>
        <w:tblW w:w="6843" w:type="dxa"/>
        <w:jc w:val="left"/>
        <w:tblInd w:w="0" w:type="dxa"/>
        <w:tblLayout w:type="fixed"/>
        <w:tblCellMar>
          <w:top w:w="0" w:type="dxa"/>
          <w:left w:w="0" w:type="dxa"/>
          <w:bottom w:w="0" w:type="dxa"/>
          <w:right w:w="0" w:type="dxa"/>
        </w:tblCellMar>
      </w:tblPr>
      <w:tblGrid>
        <w:gridCol w:w="2660"/>
        <w:gridCol w:w="60"/>
        <w:gridCol w:w="140"/>
        <w:gridCol w:w="680"/>
        <w:gridCol w:w="60"/>
        <w:gridCol w:w="60"/>
        <w:gridCol w:w="174"/>
        <w:gridCol w:w="850"/>
        <w:gridCol w:w="60"/>
        <w:gridCol w:w="60"/>
        <w:gridCol w:w="140"/>
        <w:gridCol w:w="680"/>
        <w:gridCol w:w="60"/>
        <w:gridCol w:w="60"/>
        <w:gridCol w:w="174"/>
        <w:gridCol w:w="850"/>
        <w:gridCol w:w="75"/>
      </w:tblGrid>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Fair </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Carrying </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Fair </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Carrying </w:t>
              <w:br/>
              <w:t>amount</w:t>
            </w:r>
          </w:p>
        </w:tc>
        <w:tc>
          <w:tcPr>
            <w:tcW w:w="75" w:type="dxa"/>
            <w:tcBorders/>
            <w:vAlign w:val="center"/>
          </w:tcPr>
          <w:p>
            <w:pPr>
              <w:pStyle w:val="TableContents"/>
              <w:bidi w:val="0"/>
              <w:spacing w:before="0" w:after="283"/>
              <w:ind w:left="0" w:right="0" w:hanging="200"/>
              <w:jc w:val="left"/>
              <w:rPr/>
            </w:pPr>
            <w:r>
              <w:rPr/>
              <w:t> </w:t>
            </w:r>
          </w:p>
        </w:tc>
      </w:tr>
      <w:tr>
        <w:trPr/>
        <w:tc>
          <w:tcPr>
            <w:tcW w:w="2660" w:type="dxa"/>
            <w:tcBorders/>
            <w:shd w:fill="CCEEFF" w:val="clear"/>
            <w:vAlign w:val="center"/>
          </w:tcPr>
          <w:p>
            <w:pPr>
              <w:pStyle w:val="TableContents"/>
              <w:bidi w:val="0"/>
              <w:spacing w:before="0" w:after="283"/>
              <w:jc w:val="left"/>
              <w:rPr/>
            </w:pPr>
            <w:r>
              <w:rPr/>
              <w:t>Warrant liabilities – Level 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1,874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850" w:type="dxa"/>
            <w:tcBorders/>
            <w:shd w:fill="CCEEFF" w:val="clear"/>
            <w:vAlign w:val="center"/>
          </w:tcPr>
          <w:p>
            <w:pPr>
              <w:pStyle w:val="TableContents"/>
              <w:bidi w:val="0"/>
              <w:spacing w:before="0" w:after="283"/>
              <w:jc w:val="right"/>
              <w:rPr/>
            </w:pPr>
            <w:r>
              <w:rPr/>
              <w:t>1,874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850" w:type="dxa"/>
            <w:tcBorders/>
            <w:shd w:fill="CCEEFF" w:val="clear"/>
            <w:vAlign w:val="center"/>
          </w:tcPr>
          <w:p>
            <w:pPr>
              <w:pStyle w:val="TableContents"/>
              <w:bidi w:val="0"/>
              <w:spacing w:before="0" w:after="283"/>
              <w:jc w:val="right"/>
              <w:rPr/>
            </w:pPr>
            <w:r>
              <w:rPr/>
              <w:t>258</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660" w:type="dxa"/>
            <w:tcBorders/>
            <w:shd w:fill="FFFFFF" w:val="clear"/>
            <w:vAlign w:val="center"/>
          </w:tcPr>
          <w:p>
            <w:pPr>
              <w:pStyle w:val="TableContents"/>
              <w:bidi w:val="0"/>
              <w:spacing w:before="0" w:after="283"/>
              <w:jc w:val="left"/>
              <w:rPr/>
            </w:pPr>
            <w:r>
              <w:rPr/>
              <w:t>SIF Loan – Level 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23,609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27,536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10,688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13,978</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660" w:type="dxa"/>
            <w:tcBorders/>
            <w:shd w:fill="CCEEFF" w:val="clear"/>
            <w:vAlign w:val="center"/>
          </w:tcPr>
          <w:p>
            <w:pPr>
              <w:pStyle w:val="TableContents"/>
              <w:bidi w:val="0"/>
              <w:spacing w:before="0" w:after="283"/>
              <w:jc w:val="left"/>
              <w:rPr/>
            </w:pPr>
            <w:r>
              <w:rPr/>
              <w:t>FedDev Loan – Level 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2,463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2,463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2,031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10 for Old Xanadu’s use of the Black-Scholes option pricing model in estimating the fair value of its warrant liabilities. The significant unobservable input used in the fair value measurement of Old Xanadu’s warrant liabilities is the fair value of the underlying common shares, which was determined to be $77.82, $13.73, and $13.45 as of December 31, 2025, 2024, and 2023, respectively. A significant increase (decrease) to this input in isolation would have resulted in a significantly higher (lower) fair value measurement. Old Xanadu estimates the volatility of the underlying common stock for its warrants based on historical and implied volatility of select peer companies. The risk-free interest rate is based on the U.S. Treasury zero-coupon yield curve on the valuation date for a maturity commensurate with the expected remaining term of the warrants. The expected term of the warrants is assumed to be equal to their remaining contractual term. The dividend rate is based on the historical rate, which Old Xanadu anticipates remaining at zero. During the years ended December 31, 2025, 2024, and 2023, Old Xanadu recognized an increase of $1,616, a decrease of $12, and an increase of $196 related to the change in fair value of its warrant liabilities, respectively, within other income (expense), net in the statements of operations and comprehensive loss.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F-67</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the Consolidated Statements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jc w:val="both"/>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335"/>
        <w:gridCol w:w="3245"/>
      </w:tblGrid>
      <w:tr>
        <w:trPr/>
        <w:tc>
          <w:tcPr>
            <w:tcW w:w="335" w:type="dxa"/>
            <w:tcBorders/>
            <w:vAlign w:val="center"/>
          </w:tcPr>
          <w:p>
            <w:pPr>
              <w:pStyle w:val="TableContents"/>
              <w:bidi w:val="0"/>
              <w:spacing w:before="0" w:after="283"/>
              <w:jc w:val="left"/>
              <w:rPr>
                <w:b/>
              </w:rPr>
            </w:pPr>
            <w:r>
              <w:rPr>
                <w:b/>
              </w:rPr>
              <w:t>13.</w:t>
            </w:r>
          </w:p>
        </w:tc>
        <w:tc>
          <w:tcPr>
            <w:tcW w:w="3245" w:type="dxa"/>
            <w:tcBorders/>
            <w:vAlign w:val="center"/>
          </w:tcPr>
          <w:p>
            <w:pPr>
              <w:pStyle w:val="TableContents"/>
              <w:bidi w:val="0"/>
              <w:spacing w:before="0" w:after="283"/>
              <w:jc w:val="both"/>
              <w:rPr/>
            </w:pPr>
            <w:r>
              <w:rPr>
                <w:b/>
              </w:rPr>
              <w:t xml:space="preserve">Fair value measurement: </w:t>
            </w:r>
            <w:r>
              <w:rPr/>
              <w:t>(cont.)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change in fair value of Old Xanadu’s warrant liabilities for the years ended December 31, 2025 and 2024. Changes in fair value have been recognized within other income (expense), net in the consolidated statements of operations and comprehensive loss.</w:t>
      </w:r>
    </w:p>
    <w:p>
      <w:pPr>
        <w:pStyle w:val="TextBody"/>
        <w:bidi w:val="0"/>
        <w:spacing w:before="0" w:after="0"/>
        <w:jc w:val="both"/>
        <w:rPr>
          <w:caps w:val="false"/>
          <w:smallCaps w:val="false"/>
        </w:rPr>
      </w:pPr>
      <w:r>
        <w:rPr>
          <w:caps w:val="false"/>
          <w:smallCaps w:val="false"/>
        </w:rPr>
        <w:t> </w:t>
      </w:r>
    </w:p>
    <w:tbl>
      <w:tblPr>
        <w:tblW w:w="6740" w:type="dxa"/>
        <w:jc w:val="left"/>
        <w:tblInd w:w="0" w:type="dxa"/>
        <w:tblLayout w:type="fixed"/>
        <w:tblCellMar>
          <w:top w:w="0" w:type="dxa"/>
          <w:left w:w="0" w:type="dxa"/>
          <w:bottom w:w="0" w:type="dxa"/>
          <w:right w:w="0" w:type="dxa"/>
        </w:tblCellMar>
      </w:tblPr>
      <w:tblGrid>
        <w:gridCol w:w="5870"/>
        <w:gridCol w:w="60"/>
        <w:gridCol w:w="140"/>
        <w:gridCol w:w="560"/>
        <w:gridCol w:w="110"/>
      </w:tblGrid>
      <w:tr>
        <w:trPr/>
        <w:tc>
          <w:tcPr>
            <w:tcW w:w="5870" w:type="dxa"/>
            <w:tcBorders/>
            <w:shd w:fill="CCEEFF" w:val="clear"/>
            <w:vAlign w:val="center"/>
          </w:tcPr>
          <w:p>
            <w:pPr>
              <w:pStyle w:val="TableContents"/>
              <w:bidi w:val="0"/>
              <w:spacing w:before="0" w:after="283"/>
              <w:ind w:left="0" w:right="0" w:hanging="200"/>
              <w:jc w:val="left"/>
              <w:rPr/>
            </w:pPr>
            <w:r>
              <w:rPr/>
              <w:t>Fair value as of December 31,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270</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5870" w:type="dxa"/>
            <w:tcBorders/>
            <w:shd w:fill="FFFFFF" w:val="clear"/>
            <w:vAlign w:val="center"/>
          </w:tcPr>
          <w:p>
            <w:pPr>
              <w:pStyle w:val="TableContents"/>
              <w:bidi w:val="0"/>
              <w:spacing w:before="0" w:after="283"/>
              <w:jc w:val="left"/>
              <w:rPr/>
            </w:pPr>
            <w:r>
              <w:rPr/>
              <w:t>Change in fair value, net of changes in foreign exchange rates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(12</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5870" w:type="dxa"/>
            <w:tcBorders/>
            <w:shd w:fill="CCEEFF" w:val="clear"/>
            <w:vAlign w:val="center"/>
          </w:tcPr>
          <w:p>
            <w:pPr>
              <w:pStyle w:val="TableContents"/>
              <w:bidi w:val="0"/>
              <w:spacing w:before="0" w:after="283"/>
              <w:jc w:val="left"/>
              <w:rPr/>
            </w:pPr>
            <w:r>
              <w:rPr/>
              <w:t>Fair value as of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258</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5870" w:type="dxa"/>
            <w:tcBorders/>
            <w:shd w:fill="FFFFFF" w:val="clear"/>
            <w:vAlign w:val="center"/>
          </w:tcPr>
          <w:p>
            <w:pPr>
              <w:pStyle w:val="TableContents"/>
              <w:bidi w:val="0"/>
              <w:spacing w:before="0" w:after="283"/>
              <w:jc w:val="left"/>
              <w:rPr/>
            </w:pPr>
            <w:r>
              <w:rPr/>
              <w:t>Change in fair value, net of changes in foreign exchange rates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1,616</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5870" w:type="dxa"/>
            <w:tcBorders/>
            <w:shd w:fill="CCEEFF" w:val="clear"/>
            <w:vAlign w:val="center"/>
          </w:tcPr>
          <w:p>
            <w:pPr>
              <w:pStyle w:val="TableContents"/>
              <w:bidi w:val="0"/>
              <w:spacing w:before="0" w:after="283"/>
              <w:jc w:val="left"/>
              <w:rPr/>
            </w:pPr>
            <w:r>
              <w:rPr/>
              <w:t>Fair value as of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1,874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Old Xanadu’s long-term debt, including the SVB Term Loan, SIF Loan and FedDev Loan, are estimated based on discounting future cash flows at currently available interest rates with comparable terms.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 of the SIF Loan is considered a Level 3 valuation as it is based on a significant unobservable input related to the projected timing and amount of future revenues which determine expected future repayments.</w:t>
      </w:r>
    </w:p>
    <w:p>
      <w:pPr>
        <w:pStyle w:val="TextBody"/>
        <w:bidi w:val="0"/>
        <w:spacing w:before="0" w:after="0"/>
        <w:jc w:val="both"/>
        <w:rPr>
          <w:caps w:val="false"/>
          <w:smallCaps w:val="false"/>
        </w:rPr>
      </w:pPr>
      <w:r>
        <w:rPr>
          <w:caps w:val="false"/>
          <w:smallCaps w:val="false"/>
        </w:rPr>
        <w:t> </w:t>
      </w:r>
    </w:p>
    <w:tbl>
      <w:tblPr>
        <w:tblW w:w="1120" w:type="dxa"/>
        <w:jc w:val="left"/>
        <w:tblInd w:w="0" w:type="dxa"/>
        <w:tblLayout w:type="fixed"/>
        <w:tblCellMar>
          <w:top w:w="0" w:type="dxa"/>
          <w:left w:w="0" w:type="dxa"/>
          <w:bottom w:w="0" w:type="dxa"/>
          <w:right w:w="0" w:type="dxa"/>
        </w:tblCellMar>
      </w:tblPr>
      <w:tblGrid>
        <w:gridCol w:w="335"/>
        <w:gridCol w:w="785"/>
      </w:tblGrid>
      <w:tr>
        <w:trPr/>
        <w:tc>
          <w:tcPr>
            <w:tcW w:w="335" w:type="dxa"/>
            <w:tcBorders/>
            <w:vAlign w:val="center"/>
          </w:tcPr>
          <w:p>
            <w:pPr>
              <w:pStyle w:val="TableContents"/>
              <w:bidi w:val="0"/>
              <w:spacing w:before="0" w:after="283"/>
              <w:jc w:val="left"/>
              <w:rPr>
                <w:b/>
              </w:rPr>
            </w:pPr>
            <w:r>
              <w:rPr>
                <w:b/>
              </w:rPr>
              <w:t>14.</w:t>
            </w:r>
          </w:p>
        </w:tc>
        <w:tc>
          <w:tcPr>
            <w:tcW w:w="785" w:type="dxa"/>
            <w:tcBorders/>
            <w:vAlign w:val="center"/>
          </w:tcPr>
          <w:p>
            <w:pPr>
              <w:pStyle w:val="TableContents"/>
              <w:bidi w:val="0"/>
              <w:spacing w:before="0" w:after="283"/>
              <w:jc w:val="both"/>
              <w:rPr>
                <w:b/>
              </w:rPr>
            </w:pPr>
            <w:r>
              <w:rPr>
                <w:b/>
              </w:rPr>
              <w:t>Leases: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enters into operating leases for its office space tenancies. As of December 31, 2025 and 2024, Old Xanadu’s leases had a remaining lease term of eight years and nine years respectively. Old Xanadu has a one-time termination option to cancel one of its office space leases as of 2030 but has not included this termination option in the lease term as Old Xanadu does not expect to exercise this option. Old Xanadu’s operating leases do not contain non-lease components.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Xanadu’s office space leases are subject to annual operating costs that may change from time to time during the lease term. These costs are accounted for as variable lease payments and are recognized in the consolidated statements of operations and comprehensive loss in the year in which the obligation for these payments is incurred. These annual operating costs are a non-lease component, which are accounted for separately in the determination of lease costs.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components of lease cost for the years ended December 31, 2025, 2024, and 2023:</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75"/>
        <w:gridCol w:w="60"/>
        <w:gridCol w:w="140"/>
        <w:gridCol w:w="560"/>
        <w:gridCol w:w="95"/>
        <w:gridCol w:w="60"/>
        <w:gridCol w:w="140"/>
        <w:gridCol w:w="635"/>
        <w:gridCol w:w="95"/>
        <w:gridCol w:w="60"/>
        <w:gridCol w:w="140"/>
        <w:gridCol w:w="635"/>
        <w:gridCol w:w="110"/>
      </w:tblGrid>
      <w:tr>
        <w:trPr/>
        <w:tc>
          <w:tcPr>
            <w:tcW w:w="7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283"/>
              <w:jc w:val="left"/>
              <w:rPr/>
            </w:pPr>
            <w:r>
              <w:rPr/>
              <w:t>Operating lease cost</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200"/>
              <w:jc w:val="left"/>
              <w:rPr/>
            </w:pPr>
            <w:r>
              <w:rPr/>
              <w:t> </w:t>
            </w:r>
          </w:p>
        </w:tc>
      </w:tr>
      <w:tr>
        <w:trPr/>
        <w:tc>
          <w:tcPr>
            <w:tcW w:w="7475" w:type="dxa"/>
            <w:tcBorders/>
            <w:shd w:fill="CCEEFF" w:val="clear"/>
            <w:vAlign w:val="center"/>
          </w:tcPr>
          <w:p>
            <w:pPr>
              <w:pStyle w:val="TableContents"/>
              <w:bidi w:val="0"/>
              <w:spacing w:before="0" w:after="283"/>
              <w:jc w:val="left"/>
              <w:rPr/>
            </w:pPr>
            <w:r>
              <w:rPr/>
              <w:t>Fixed lease cost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1,149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1,138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988</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7475" w:type="dxa"/>
            <w:tcBorders/>
            <w:shd w:fill="FFFFFF" w:val="clear"/>
            <w:vAlign w:val="center"/>
          </w:tcPr>
          <w:p>
            <w:pPr>
              <w:pStyle w:val="TableContents"/>
              <w:bidi w:val="0"/>
              <w:spacing w:before="0" w:after="283"/>
              <w:jc w:val="left"/>
              <w:rPr/>
            </w:pPr>
            <w:r>
              <w:rPr/>
              <w:t>Lease cost relating to variable lease payments not included in the measurement of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971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1,014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1,069</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7475" w:type="dxa"/>
            <w:tcBorders/>
            <w:shd w:fill="CCEEFF" w:val="clear"/>
            <w:vAlign w:val="center"/>
          </w:tcPr>
          <w:p>
            <w:pPr>
              <w:pStyle w:val="TableContents"/>
              <w:bidi w:val="0"/>
              <w:spacing w:before="0" w:after="283"/>
              <w:jc w:val="left"/>
              <w:rPr/>
            </w:pPr>
            <w:r>
              <w:rPr/>
              <w:t>Total operating lease cost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2,120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2,152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2,057</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7475" w:type="dxa"/>
            <w:tcBorders/>
            <w:shd w:fill="FFFFFF" w:val="clear"/>
            <w:vAlign w:val="center"/>
          </w:tcPr>
          <w:p>
            <w:pPr>
              <w:pStyle w:val="TableContents"/>
              <w:bidi w:val="0"/>
              <w:spacing w:before="0" w:after="283"/>
              <w:jc w:val="left"/>
              <w:rPr/>
            </w:pPr>
            <w:r>
              <w:rPr/>
              <w:t>Total additions (reductions) to operating ROU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(905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10" w:space="0" w:color="000000"/>
            </w:tcBorders>
            <w:shd w:fill="FFFFFF" w:val="clear"/>
            <w:tcMar>
              <w:bottom w:w="28" w:type="dxa"/>
            </w:tcMar>
            <w:vAlign w:val="center"/>
          </w:tcPr>
          <w:p>
            <w:pPr>
              <w:pStyle w:val="TableContents"/>
              <w:bidi w:val="0"/>
              <w:spacing w:before="0" w:after="283"/>
              <w:jc w:val="right"/>
              <w:rPr/>
            </w:pPr>
            <w:r>
              <w:rPr/>
              <w:t>(1,029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10" w:space="0" w:color="000000"/>
            </w:tcBorders>
            <w:shd w:fill="FFFFFF" w:val="clear"/>
            <w:tcMar>
              <w:bottom w:w="28" w:type="dxa"/>
            </w:tcMar>
            <w:vAlign w:val="center"/>
          </w:tcPr>
          <w:p>
            <w:pPr>
              <w:pStyle w:val="TableContents"/>
              <w:bidi w:val="0"/>
              <w:spacing w:before="0" w:after="283"/>
              <w:jc w:val="right"/>
              <w:rPr/>
            </w:pPr>
            <w:r>
              <w:rPr/>
              <w:t>(1,619</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discount rate used to measure Old Xanadu’s operating lease liabilities was 3.61% as of December 31, 2025, 2024, and 2023.</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F-68</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the Consolidated Statements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jc w:val="both"/>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335"/>
        <w:gridCol w:w="1460"/>
      </w:tblGrid>
      <w:tr>
        <w:trPr/>
        <w:tc>
          <w:tcPr>
            <w:tcW w:w="335" w:type="dxa"/>
            <w:tcBorders/>
            <w:vAlign w:val="center"/>
          </w:tcPr>
          <w:p>
            <w:pPr>
              <w:pStyle w:val="TableContents"/>
              <w:bidi w:val="0"/>
              <w:spacing w:before="0" w:after="283"/>
              <w:jc w:val="left"/>
              <w:rPr>
                <w:b/>
              </w:rPr>
            </w:pPr>
            <w:r>
              <w:rPr>
                <w:b/>
              </w:rPr>
              <w:t>14.</w:t>
            </w:r>
          </w:p>
        </w:tc>
        <w:tc>
          <w:tcPr>
            <w:tcW w:w="1460" w:type="dxa"/>
            <w:tcBorders/>
            <w:vAlign w:val="center"/>
          </w:tcPr>
          <w:p>
            <w:pPr>
              <w:pStyle w:val="TableContents"/>
              <w:bidi w:val="0"/>
              <w:spacing w:before="0" w:after="283"/>
              <w:jc w:val="both"/>
              <w:rPr/>
            </w:pPr>
            <w:r>
              <w:rPr>
                <w:b/>
              </w:rPr>
              <w:t xml:space="preserve">Leases: </w:t>
            </w:r>
            <w:r>
              <w:rPr/>
              <w:t>(cont.)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Xanadu’s future minimum operating lease payments as of December 31, 2025 are as follows:</w:t>
      </w:r>
    </w:p>
    <w:p>
      <w:pPr>
        <w:pStyle w:val="TextBody"/>
        <w:bidi w:val="0"/>
        <w:spacing w:before="0" w:after="0"/>
        <w:jc w:val="both"/>
        <w:rPr>
          <w:caps w:val="false"/>
          <w:smallCaps w:val="false"/>
        </w:rPr>
      </w:pPr>
      <w:r>
        <w:rPr>
          <w:caps w:val="false"/>
          <w:smallCaps w:val="false"/>
        </w:rPr>
        <w:t> </w:t>
      </w:r>
    </w:p>
    <w:tbl>
      <w:tblPr>
        <w:tblW w:w="5505" w:type="dxa"/>
        <w:jc w:val="left"/>
        <w:tblInd w:w="0" w:type="dxa"/>
        <w:tblLayout w:type="fixed"/>
        <w:tblCellMar>
          <w:top w:w="0" w:type="dxa"/>
          <w:left w:w="0" w:type="dxa"/>
          <w:bottom w:w="0" w:type="dxa"/>
          <w:right w:w="0" w:type="dxa"/>
        </w:tblCellMar>
      </w:tblPr>
      <w:tblGrid>
        <w:gridCol w:w="4670"/>
        <w:gridCol w:w="60"/>
        <w:gridCol w:w="140"/>
        <w:gridCol w:w="560"/>
        <w:gridCol w:w="75"/>
      </w:tblGrid>
      <w:tr>
        <w:trPr/>
        <w:tc>
          <w:tcPr>
            <w:tcW w:w="4670" w:type="dxa"/>
            <w:tcBorders/>
            <w:shd w:fill="CCEEFF" w:val="clear"/>
            <w:vAlign w:val="center"/>
          </w:tcPr>
          <w:p>
            <w:pPr>
              <w:pStyle w:val="TableContents"/>
              <w:bidi w:val="0"/>
              <w:spacing w:before="0" w:after="283"/>
              <w:ind w:left="0" w:right="0" w:hanging="200"/>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1,291</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4670"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1,388</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4670"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1,459</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4670"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1,459</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4670" w:type="dxa"/>
            <w:tcBorders/>
            <w:shd w:fill="CCEEFF" w:val="clear"/>
            <w:vAlign w:val="center"/>
          </w:tcPr>
          <w:p>
            <w:pPr>
              <w:pStyle w:val="TableContents"/>
              <w:bidi w:val="0"/>
              <w:spacing w:before="0" w:after="283"/>
              <w:jc w:val="left"/>
              <w:rPr/>
            </w:pPr>
            <w:r>
              <w:rPr/>
              <w:t>Thereafter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3,484</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4670" w:type="dxa"/>
            <w:tcBorders/>
            <w:shd w:fill="FFFFFF" w:val="clear"/>
            <w:vAlign w:val="center"/>
          </w:tcPr>
          <w:p>
            <w:pPr>
              <w:pStyle w:val="TableContents"/>
              <w:bidi w:val="0"/>
              <w:spacing w:before="0" w:after="283"/>
              <w:jc w:val="left"/>
              <w:rPr/>
            </w:pPr>
            <w:r>
              <w:rPr/>
              <w:t>Total future minimum lease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9,081</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4670" w:type="dxa"/>
            <w:tcBorders/>
            <w:shd w:fill="CCEEFF" w:val="clear"/>
            <w:vAlign w:val="center"/>
          </w:tcPr>
          <w:p>
            <w:pPr>
              <w:pStyle w:val="TableContents"/>
              <w:bidi w:val="0"/>
              <w:spacing w:before="0" w:after="283"/>
              <w:jc w:val="left"/>
              <w:rPr/>
            </w:pPr>
            <w:r>
              <w:rPr/>
              <w:t>Less: Imputed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822</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4670" w:type="dxa"/>
            <w:tcBorders/>
            <w:shd w:fill="FFFFFF" w:val="clear"/>
            <w:vAlign w:val="center"/>
          </w:tcPr>
          <w:p>
            <w:pPr>
              <w:pStyle w:val="TableContents"/>
              <w:bidi w:val="0"/>
              <w:spacing w:before="0" w:after="283"/>
              <w:jc w:val="left"/>
              <w:rPr/>
            </w:pPr>
            <w:r>
              <w:rPr/>
              <w:t>Total 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8,259</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4670" w:type="dxa"/>
            <w:tcBorders/>
            <w:shd w:fill="CCEEFF" w:val="clear"/>
            <w:vAlign w:val="center"/>
          </w:tcPr>
          <w:p>
            <w:pPr>
              <w:pStyle w:val="TableContents"/>
              <w:bidi w:val="0"/>
              <w:spacing w:before="0" w:after="283"/>
              <w:jc w:val="left"/>
              <w:rPr/>
            </w:pPr>
            <w:r>
              <w:rPr/>
              <w:t>Less: Current portion of 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1,074</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4670" w:type="dxa"/>
            <w:tcBorders/>
            <w:shd w:fill="FFFFFF" w:val="clear"/>
            <w:vAlign w:val="center"/>
          </w:tcPr>
          <w:p>
            <w:pPr>
              <w:pStyle w:val="TableContents"/>
              <w:bidi w:val="0"/>
              <w:spacing w:before="0" w:after="283"/>
              <w:jc w:val="left"/>
              <w:rPr/>
            </w:pPr>
            <w:r>
              <w:rPr/>
              <w:t>Long-term portion of 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7,185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335"/>
        <w:gridCol w:w="5120"/>
      </w:tblGrid>
      <w:tr>
        <w:trPr/>
        <w:tc>
          <w:tcPr>
            <w:tcW w:w="335" w:type="dxa"/>
            <w:tcBorders/>
            <w:vAlign w:val="center"/>
          </w:tcPr>
          <w:p>
            <w:pPr>
              <w:pStyle w:val="TableContents"/>
              <w:bidi w:val="0"/>
              <w:spacing w:before="0" w:after="283"/>
              <w:jc w:val="left"/>
              <w:rPr>
                <w:b/>
              </w:rPr>
            </w:pPr>
            <w:r>
              <w:rPr>
                <w:b/>
              </w:rPr>
              <w:t>15.</w:t>
            </w:r>
          </w:p>
        </w:tc>
        <w:tc>
          <w:tcPr>
            <w:tcW w:w="5120" w:type="dxa"/>
            <w:tcBorders/>
            <w:vAlign w:val="center"/>
          </w:tcPr>
          <w:p>
            <w:pPr>
              <w:pStyle w:val="TableContents"/>
              <w:bidi w:val="0"/>
              <w:spacing w:before="0" w:after="283"/>
              <w:jc w:val="both"/>
              <w:rPr>
                <w:b/>
              </w:rPr>
            </w:pPr>
            <w:r>
              <w:rPr>
                <w:b/>
              </w:rPr>
              <w:t>Investment tax credits and government assistance: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is a participant in Phase 1 of the Canadian Quantum Champions Program (“CQCP”), a strategic initiative by the Government of Canada to support the development of scalable and fault-tolerant quantum computing platforms. Under the terms of the Contribution Agreement dated December 10, 2025, with His Majesty the King in Right of Canada, as represented by the Minister of Industry, Old Xanadu is eligible to receive a non-repayable financial contribution of up to CAD $23,000. This funding is designated to reimburse 100% of eligible costs—primarily consisting of direct labour and research and development activities—incurred through March 31, 2027.</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Funding is disbursed upon the successful completion of specific project Milestones, which include the submission and technical validation of an Initial Framework Proposal, an Interim Report, and a Final Report regarding quantum fault tolerance and scalability. The Agreement requires Old Xanadu to maintain its head office and facilities in Toronto, Ontario, for the duration of the four-year term and subjects all claims to final adjustments and potential holdbacks by the Minister. Additionally, Old Xanadu must comply with strict reporting requirements, including providing audited annual financial statements and maintaining records for periodic government audits.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Old Xanadu recorded $5,011 of grant receivable. Old Xanadu was permitted to claim eligible expenditures incurred on or after May 26, 2025, and as such recorded $5,011 of grant income within other operating income for the 2025 fiscal year.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year-ended December 31, 2025, Old Xanadu received an additional $1,706 through other government grants and tax credits for which Old Xanadu recognized $1,215 within other operating income (expense), net (2024 - $336, 2023 - $343) in the consolidated statement of operations and comprehensive loss and $491 was recognized on the consolidated balance sheet as of December 31, 2025 as deferred grant income (December 31, 2024-$nil).</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F-69</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i w:val="false"/>
          <w:caps w:val="false"/>
          <w:smallCaps w:val="false"/>
          <w:sz w:val="20"/>
        </w:rPr>
        <w:br/>
        <w:t>Notes to the Consolidated Statements</w:t>
        <w:br/>
        <w:t>(In thousands, except for share and per share amounts)</w:t>
      </w:r>
    </w:p>
    <w:p>
      <w:pPr>
        <w:pStyle w:val="TextBody"/>
        <w:bidi w:val="0"/>
        <w:spacing w:before="0" w:after="0"/>
        <w:jc w:val="both"/>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335"/>
        <w:gridCol w:w="3110"/>
      </w:tblGrid>
      <w:tr>
        <w:trPr/>
        <w:tc>
          <w:tcPr>
            <w:tcW w:w="335" w:type="dxa"/>
            <w:tcBorders/>
            <w:vAlign w:val="center"/>
          </w:tcPr>
          <w:p>
            <w:pPr>
              <w:pStyle w:val="TableContents"/>
              <w:bidi w:val="0"/>
              <w:spacing w:before="0" w:after="283"/>
              <w:jc w:val="left"/>
              <w:rPr>
                <w:b/>
              </w:rPr>
            </w:pPr>
            <w:r>
              <w:rPr>
                <w:b/>
              </w:rPr>
              <w:t>16.</w:t>
            </w:r>
          </w:p>
        </w:tc>
        <w:tc>
          <w:tcPr>
            <w:tcW w:w="3110" w:type="dxa"/>
            <w:tcBorders/>
            <w:vAlign w:val="center"/>
          </w:tcPr>
          <w:p>
            <w:pPr>
              <w:pStyle w:val="TableContents"/>
              <w:bidi w:val="0"/>
              <w:spacing w:before="0" w:after="283"/>
              <w:jc w:val="both"/>
              <w:rPr>
                <w:b/>
              </w:rPr>
            </w:pPr>
            <w:r>
              <w:rPr>
                <w:b/>
              </w:rPr>
              <w:t>Interest income (expense), net: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Xanadu’s interest income (expense), net during the years ended December 31, 2025, 2024, and 2023 is comprised of the following:</w:t>
      </w:r>
    </w:p>
    <w:p>
      <w:pPr>
        <w:pStyle w:val="TextBody"/>
        <w:bidi w:val="0"/>
        <w:spacing w:before="0" w:after="0"/>
        <w:ind w:left="360" w:right="0" w:hanging="0"/>
        <w:jc w:val="both"/>
        <w:rPr>
          <w:caps w:val="false"/>
          <w:smallCaps w:val="false"/>
        </w:rPr>
      </w:pPr>
      <w:r>
        <w:rPr>
          <w:caps w:val="false"/>
          <w:smallCaps w:val="false"/>
        </w:rPr>
        <w:t> </w:t>
      </w:r>
    </w:p>
    <w:tbl>
      <w:tblPr>
        <w:tblW w:w="4130" w:type="dxa"/>
        <w:jc w:val="left"/>
        <w:tblInd w:w="0" w:type="dxa"/>
        <w:tblLayout w:type="fixed"/>
        <w:tblCellMar>
          <w:top w:w="0" w:type="dxa"/>
          <w:left w:w="0" w:type="dxa"/>
          <w:bottom w:w="0" w:type="dxa"/>
          <w:right w:w="0" w:type="dxa"/>
        </w:tblCellMar>
      </w:tblPr>
      <w:tblGrid>
        <w:gridCol w:w="1550"/>
        <w:gridCol w:w="60"/>
        <w:gridCol w:w="140"/>
        <w:gridCol w:w="560"/>
        <w:gridCol w:w="95"/>
        <w:gridCol w:w="60"/>
        <w:gridCol w:w="140"/>
        <w:gridCol w:w="560"/>
        <w:gridCol w:w="95"/>
        <w:gridCol w:w="60"/>
        <w:gridCol w:w="140"/>
        <w:gridCol w:w="560"/>
        <w:gridCol w:w="110"/>
      </w:tblGrid>
      <w:tr>
        <w:trPr/>
        <w:tc>
          <w:tcPr>
            <w:tcW w:w="1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ind w:left="0" w:right="0" w:hanging="200"/>
              <w:jc w:val="left"/>
              <w:rPr/>
            </w:pPr>
            <w:r>
              <w:rPr/>
              <w:t> </w:t>
            </w:r>
          </w:p>
        </w:tc>
      </w:tr>
      <w:tr>
        <w:trPr/>
        <w:tc>
          <w:tcPr>
            <w:tcW w:w="155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2,060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5,222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6,789</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55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(851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(552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(282</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155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1,209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4,670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6,507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includes $(851), $(552), and $(79) related to non-cash interest for the SIF loan and $nil, $nil, and $(198) related to non-cash interest for the SVB Term Loan for the years ended December 31, 2025, 2024, and 2023 respectively. The balance of the interest expense in 2023 was related to the SVB loan.</w:t>
      </w:r>
    </w:p>
    <w:p>
      <w:pPr>
        <w:pStyle w:val="TextBody"/>
        <w:bidi w:val="0"/>
        <w:spacing w:before="0" w:after="0"/>
        <w:jc w:val="both"/>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335"/>
        <w:gridCol w:w="1910"/>
      </w:tblGrid>
      <w:tr>
        <w:trPr/>
        <w:tc>
          <w:tcPr>
            <w:tcW w:w="335" w:type="dxa"/>
            <w:tcBorders/>
            <w:vAlign w:val="center"/>
          </w:tcPr>
          <w:p>
            <w:pPr>
              <w:pStyle w:val="TableContents"/>
              <w:bidi w:val="0"/>
              <w:spacing w:before="0" w:after="283"/>
              <w:jc w:val="left"/>
              <w:rPr>
                <w:b/>
              </w:rPr>
            </w:pPr>
            <w:r>
              <w:rPr>
                <w:b/>
              </w:rPr>
              <w:t>17.</w:t>
            </w:r>
          </w:p>
        </w:tc>
        <w:tc>
          <w:tcPr>
            <w:tcW w:w="1910" w:type="dxa"/>
            <w:tcBorders/>
            <w:vAlign w:val="center"/>
          </w:tcPr>
          <w:p>
            <w:pPr>
              <w:pStyle w:val="TableContents"/>
              <w:bidi w:val="0"/>
              <w:spacing w:before="0" w:after="283"/>
              <w:jc w:val="both"/>
              <w:rPr>
                <w:b/>
              </w:rPr>
            </w:pPr>
            <w:r>
              <w:rPr>
                <w:b/>
              </w:rPr>
              <w:t>Net loss per share: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basic and diluted net loss per share attributable to common shareholders for the years ended December 31, 2025, 2024, and 2023:</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65"/>
        <w:gridCol w:w="60"/>
        <w:gridCol w:w="140"/>
        <w:gridCol w:w="980"/>
        <w:gridCol w:w="95"/>
        <w:gridCol w:w="60"/>
        <w:gridCol w:w="140"/>
        <w:gridCol w:w="980"/>
        <w:gridCol w:w="95"/>
        <w:gridCol w:w="60"/>
        <w:gridCol w:w="140"/>
        <w:gridCol w:w="980"/>
        <w:gridCol w:w="110"/>
      </w:tblGrid>
      <w:tr>
        <w:trPr/>
        <w:tc>
          <w:tcPr>
            <w:tcW w:w="6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7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pPr>
            <w:r>
              <w:rPr/>
              <w:t>Numerator:</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200"/>
              <w:jc w:val="left"/>
              <w:rPr/>
            </w:pPr>
            <w:r>
              <w:rPr/>
              <w:t> </w:t>
            </w:r>
          </w:p>
        </w:tc>
      </w:tr>
      <w:tr>
        <w:trPr/>
        <w:tc>
          <w:tcPr>
            <w:tcW w:w="6365" w:type="dxa"/>
            <w:tcBorders/>
            <w:shd w:fill="CCEEFF" w:val="clear"/>
            <w:vAlign w:val="center"/>
          </w:tcPr>
          <w:p>
            <w:pPr>
              <w:pStyle w:val="TableContents"/>
              <w:bidi w:val="0"/>
              <w:spacing w:before="0" w:after="283"/>
              <w:jc w:val="left"/>
              <w:rPr/>
            </w:pPr>
            <w:r>
              <w:rPr/>
              <w:t>Net loss attributable to common shareholders,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(70,667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(45,968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(35,592</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6365" w:type="dxa"/>
            <w:tcBorders/>
            <w:shd w:fill="FFFFFF" w:val="clear"/>
            <w:vAlign w:val="center"/>
          </w:tcPr>
          <w:p>
            <w:pPr>
              <w:pStyle w:val="TableContents"/>
              <w:bidi w:val="0"/>
              <w:spacing w:before="0" w:after="283"/>
              <w:jc w:val="left"/>
              <w:rPr/>
            </w:pPr>
            <w:r>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365" w:type="dxa"/>
            <w:tcBorders/>
            <w:shd w:fill="CCEEFF" w:val="clear"/>
            <w:vAlign w:val="center"/>
          </w:tcPr>
          <w:p>
            <w:pPr>
              <w:pStyle w:val="TableContents"/>
              <w:bidi w:val="0"/>
              <w:spacing w:before="0" w:after="283"/>
              <w:jc w:val="left"/>
              <w:rPr/>
            </w:pPr>
            <w:r>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4,944,814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4,917,324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4,892,803</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365" w:type="dxa"/>
            <w:tcBorders/>
            <w:shd w:fill="FFFFFF" w:val="clear"/>
            <w:vAlign w:val="center"/>
          </w:tcPr>
          <w:p>
            <w:pPr>
              <w:pStyle w:val="TableContents"/>
              <w:bidi w:val="0"/>
              <w:spacing w:before="0" w:after="283"/>
              <w:jc w:val="left"/>
              <w:rPr/>
            </w:pPr>
            <w:r>
              <w:rPr/>
              <w:t>Net loss per share attributable to common shareholders,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(14.29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(9.35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(7.27</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has two classes of common shares, voting common shares and non-voting common shares, each with identical participation rights to dividends and liquidation preferences, and therefore, the calculation of net loss per share as described above is identical to the calculation under the two-class method.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Old Xanadu was in a loss position for all periods presented, basic net loss per share is the same as diluted net loss per share for all periods as the inclusion of all potential common shares outstanding would have been anti-dilutive.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Potentially dilutive securities (upon conversion) that were not included in the diluted net loss per share calculations because they would be anti-dilutive were as follows:</w:t>
      </w:r>
    </w:p>
    <w:p>
      <w:pPr>
        <w:pStyle w:val="TextBody"/>
        <w:bidi w:val="0"/>
        <w:spacing w:before="0" w:after="0"/>
        <w:ind w:left="360" w:right="0" w:hanging="0"/>
        <w:jc w:val="both"/>
        <w:rPr>
          <w:caps w:val="false"/>
          <w:smallCaps w:val="false"/>
        </w:rPr>
      </w:pPr>
      <w:r>
        <w:rPr>
          <w:caps w:val="false"/>
          <w:smallCaps w:val="false"/>
        </w:rPr>
        <w:t> </w:t>
      </w:r>
    </w:p>
    <w:tbl>
      <w:tblPr>
        <w:tblW w:w="9455" w:type="dxa"/>
        <w:jc w:val="left"/>
        <w:tblInd w:w="0" w:type="dxa"/>
        <w:tblLayout w:type="fixed"/>
        <w:tblCellMar>
          <w:top w:w="0" w:type="dxa"/>
          <w:left w:w="0" w:type="dxa"/>
          <w:bottom w:w="0" w:type="dxa"/>
          <w:right w:w="0" w:type="dxa"/>
        </w:tblCellMar>
      </w:tblPr>
      <w:tblGrid>
        <w:gridCol w:w="5600"/>
        <w:gridCol w:w="60"/>
        <w:gridCol w:w="60"/>
        <w:gridCol w:w="1100"/>
        <w:gridCol w:w="60"/>
        <w:gridCol w:w="60"/>
        <w:gridCol w:w="60"/>
        <w:gridCol w:w="1100"/>
        <w:gridCol w:w="60"/>
        <w:gridCol w:w="60"/>
        <w:gridCol w:w="60"/>
        <w:gridCol w:w="1100"/>
        <w:gridCol w:w="75"/>
      </w:tblGrid>
      <w:tr>
        <w:trPr/>
        <w:tc>
          <w:tcPr>
            <w:tcW w:w="5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5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ind w:left="0" w:right="0" w:hanging="200"/>
              <w:jc w:val="left"/>
              <w:rPr/>
            </w:pPr>
            <w:r>
              <w:rPr/>
              <w:t> </w:t>
            </w:r>
          </w:p>
        </w:tc>
      </w:tr>
      <w:tr>
        <w:trPr/>
        <w:tc>
          <w:tcPr>
            <w:tcW w:w="5600" w:type="dxa"/>
            <w:tcBorders/>
            <w:shd w:fill="CCEEFF" w:val="clear"/>
            <w:vAlign w:val="center"/>
          </w:tcPr>
          <w:p>
            <w:pPr>
              <w:pStyle w:val="TableContents"/>
              <w:bidi w:val="0"/>
              <w:spacing w:before="0" w:after="283"/>
              <w:jc w:val="left"/>
              <w:rPr/>
            </w:pPr>
            <w:r>
              <w:rPr/>
              <w:t>Preferred shares as convertible to common shares (note 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17,718,491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17,718,491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17,718,491</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5600" w:type="dxa"/>
            <w:tcBorders/>
            <w:shd w:fill="FFFFFF" w:val="clear"/>
            <w:vAlign w:val="center"/>
          </w:tcPr>
          <w:p>
            <w:pPr>
              <w:pStyle w:val="TableContents"/>
              <w:bidi w:val="0"/>
              <w:spacing w:before="0" w:after="283"/>
              <w:jc w:val="left"/>
              <w:rPr/>
            </w:pPr>
            <w:r>
              <w:rPr/>
              <w:t>Warrants as exercisable to common shares (note 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60,081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60,081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60,081</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5600" w:type="dxa"/>
            <w:tcBorders/>
            <w:shd w:fill="CCEEFF" w:val="clear"/>
            <w:vAlign w:val="center"/>
          </w:tcPr>
          <w:p>
            <w:pPr>
              <w:pStyle w:val="TableContents"/>
              <w:bidi w:val="0"/>
              <w:spacing w:before="0" w:after="283"/>
              <w:jc w:val="left"/>
              <w:rPr/>
            </w:pPr>
            <w:r>
              <w:rPr/>
              <w:t>Stock options issued and outstanding (note 12)</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4,385,690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3,871,428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3,432,982</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560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22,164,262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21,650,000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21,211,554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F-70</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i w:val="false"/>
          <w:caps w:val="false"/>
          <w:smallCaps w:val="false"/>
          <w:sz w:val="20"/>
        </w:rPr>
        <w:br/>
        <w:t>Notes to the Consolidated Statements</w:t>
        <w:br/>
        <w:t>(In thousands, except for share and per share amounts)</w:t>
      </w:r>
    </w:p>
    <w:p>
      <w:pPr>
        <w:pStyle w:val="TextBody"/>
        <w:bidi w:val="0"/>
        <w:spacing w:before="0" w:after="0"/>
        <w:jc w:val="both"/>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335"/>
        <w:gridCol w:w="3140"/>
      </w:tblGrid>
      <w:tr>
        <w:trPr/>
        <w:tc>
          <w:tcPr>
            <w:tcW w:w="335" w:type="dxa"/>
            <w:tcBorders/>
            <w:vAlign w:val="center"/>
          </w:tcPr>
          <w:p>
            <w:pPr>
              <w:pStyle w:val="TableContents"/>
              <w:bidi w:val="0"/>
              <w:spacing w:before="0" w:after="283"/>
              <w:jc w:val="left"/>
              <w:rPr>
                <w:b/>
              </w:rPr>
            </w:pPr>
            <w:r>
              <w:rPr>
                <w:b/>
              </w:rPr>
              <w:t>18.</w:t>
            </w:r>
          </w:p>
        </w:tc>
        <w:tc>
          <w:tcPr>
            <w:tcW w:w="3140" w:type="dxa"/>
            <w:tcBorders/>
            <w:vAlign w:val="center"/>
          </w:tcPr>
          <w:p>
            <w:pPr>
              <w:pStyle w:val="TableContents"/>
              <w:bidi w:val="0"/>
              <w:spacing w:before="0" w:after="283"/>
              <w:jc w:val="both"/>
              <w:rPr>
                <w:b/>
              </w:rPr>
            </w:pPr>
            <w:r>
              <w:rPr>
                <w:b/>
              </w:rPr>
              <w:t>Revenue and related balances:</w:t>
            </w:r>
          </w:p>
        </w:tc>
      </w:tr>
    </w:tbl>
    <w:p>
      <w:pPr>
        <w:pStyle w:val="TextBody"/>
        <w:bidi w:val="0"/>
        <w:spacing w:before="0" w:after="0"/>
        <w:jc w:val="both"/>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75"/>
        <w:gridCol w:w="275"/>
        <w:gridCol w:w="254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2540" w:type="dxa"/>
            <w:tcBorders/>
            <w:vAlign w:val="center"/>
          </w:tcPr>
          <w:p>
            <w:pPr>
              <w:pStyle w:val="TableContents"/>
              <w:bidi w:val="0"/>
              <w:spacing w:before="0" w:after="283"/>
              <w:jc w:val="both"/>
              <w:rPr/>
            </w:pPr>
            <w:r>
              <w:rPr/>
              <w:t>Disaggregation of revenue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Xanadu’s revenue disaggregated by revenue source is as follows for the years ended December 31, 2025, 2024, and 2023, respectively:</w:t>
      </w:r>
    </w:p>
    <w:p>
      <w:pPr>
        <w:pStyle w:val="TextBody"/>
        <w:bidi w:val="0"/>
        <w:spacing w:before="0" w:after="0"/>
        <w:jc w:val="both"/>
        <w:rPr>
          <w:caps w:val="false"/>
          <w:smallCaps w:val="false"/>
        </w:rPr>
      </w:pPr>
      <w:r>
        <w:rPr>
          <w:caps w:val="false"/>
          <w:smallCaps w:val="false"/>
        </w:rPr>
        <w:t> </w:t>
      </w:r>
    </w:p>
    <w:tbl>
      <w:tblPr>
        <w:tblW w:w="5452" w:type="dxa"/>
        <w:jc w:val="left"/>
        <w:tblInd w:w="0" w:type="dxa"/>
        <w:tblLayout w:type="fixed"/>
        <w:tblCellMar>
          <w:top w:w="0" w:type="dxa"/>
          <w:left w:w="0" w:type="dxa"/>
          <w:bottom w:w="0" w:type="dxa"/>
          <w:right w:w="0" w:type="dxa"/>
        </w:tblCellMar>
      </w:tblPr>
      <w:tblGrid>
        <w:gridCol w:w="2660"/>
        <w:gridCol w:w="60"/>
        <w:gridCol w:w="159"/>
        <w:gridCol w:w="636"/>
        <w:gridCol w:w="68"/>
        <w:gridCol w:w="68"/>
        <w:gridCol w:w="159"/>
        <w:gridCol w:w="636"/>
        <w:gridCol w:w="68"/>
        <w:gridCol w:w="68"/>
        <w:gridCol w:w="159"/>
        <w:gridCol w:w="636"/>
        <w:gridCol w:w="75"/>
      </w:tblGrid>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ind w:left="0" w:right="0" w:hanging="200"/>
              <w:jc w:val="left"/>
              <w:rPr/>
            </w:pPr>
            <w:r>
              <w:rPr/>
              <w:t> </w:t>
            </w:r>
          </w:p>
        </w:tc>
      </w:tr>
      <w:tr>
        <w:trPr/>
        <w:tc>
          <w:tcPr>
            <w:tcW w:w="2660" w:type="dxa"/>
            <w:tcBorders/>
            <w:shd w:fill="CCEEFF" w:val="clear"/>
            <w:vAlign w:val="center"/>
          </w:tcPr>
          <w:p>
            <w:pPr>
              <w:pStyle w:val="TableContents"/>
              <w:bidi w:val="0"/>
              <w:spacing w:before="0" w:after="283"/>
              <w:jc w:val="left"/>
              <w:rPr/>
            </w:pPr>
            <w:r>
              <w:rPr/>
              <w:t>Professional services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636" w:type="dxa"/>
            <w:tcBorders/>
            <w:shd w:fill="CCEEFF" w:val="clear"/>
            <w:vAlign w:val="center"/>
          </w:tcPr>
          <w:p>
            <w:pPr>
              <w:pStyle w:val="TableContents"/>
              <w:bidi w:val="0"/>
              <w:spacing w:before="0" w:after="283"/>
              <w:jc w:val="right"/>
              <w:rPr/>
            </w:pPr>
            <w:r>
              <w:rPr/>
              <w:t>4,218</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636" w:type="dxa"/>
            <w:tcBorders/>
            <w:shd w:fill="CCEEFF" w:val="clear"/>
            <w:vAlign w:val="center"/>
          </w:tcPr>
          <w:p>
            <w:pPr>
              <w:pStyle w:val="TableContents"/>
              <w:bidi w:val="0"/>
              <w:spacing w:before="0" w:after="283"/>
              <w:jc w:val="right"/>
              <w:rPr/>
            </w:pPr>
            <w:r>
              <w:rPr/>
              <w:t>1,307</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636" w:type="dxa"/>
            <w:tcBorders/>
            <w:shd w:fill="CCEEFF" w:val="clear"/>
            <w:vAlign w:val="center"/>
          </w:tcPr>
          <w:p>
            <w:pPr>
              <w:pStyle w:val="TableContents"/>
              <w:bidi w:val="0"/>
              <w:spacing w:before="0" w:after="283"/>
              <w:jc w:val="right"/>
              <w:rPr/>
            </w:pPr>
            <w:r>
              <w:rPr/>
              <w:t>1,746</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660" w:type="dxa"/>
            <w:tcBorders/>
            <w:shd w:fill="FFFFFF" w:val="clear"/>
            <w:vAlign w:val="center"/>
          </w:tcPr>
          <w:p>
            <w:pPr>
              <w:pStyle w:val="TableContents"/>
              <w:bidi w:val="0"/>
              <w:spacing w:before="0" w:after="283"/>
              <w:jc w:val="left"/>
              <w:rPr/>
            </w:pPr>
            <w:r>
              <w:rPr/>
              <w:t>Compute and other services</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6" w:type="dxa"/>
            <w:tcBorders>
              <w:bottom w:val="single" w:sz="12" w:space="0" w:color="000000"/>
            </w:tcBorders>
            <w:shd w:fill="FFFFFF" w:val="clear"/>
            <w:tcMar>
              <w:bottom w:w="28" w:type="dxa"/>
            </w:tcMar>
            <w:vAlign w:val="center"/>
          </w:tcPr>
          <w:p>
            <w:pPr>
              <w:pStyle w:val="TableContents"/>
              <w:bidi w:val="0"/>
              <w:spacing w:before="0" w:after="283"/>
              <w:jc w:val="right"/>
              <w:rPr/>
            </w:pPr>
            <w:r>
              <w:rPr/>
              <w:t>399</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6" w:type="dxa"/>
            <w:tcBorders>
              <w:bottom w:val="single" w:sz="12" w:space="0" w:color="000000"/>
            </w:tcBorders>
            <w:shd w:fill="FFFFFF" w:val="clear"/>
            <w:tcMar>
              <w:bottom w:w="28" w:type="dxa"/>
            </w:tcMar>
            <w:vAlign w:val="center"/>
          </w:tcPr>
          <w:p>
            <w:pPr>
              <w:pStyle w:val="TableContents"/>
              <w:bidi w:val="0"/>
              <w:spacing w:before="0" w:after="283"/>
              <w:jc w:val="right"/>
              <w:rPr/>
            </w:pPr>
            <w:r>
              <w:rPr/>
              <w:t>282</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6" w:type="dxa"/>
            <w:tcBorders>
              <w:bottom w:val="single" w:sz="12" w:space="0" w:color="000000"/>
            </w:tcBorders>
            <w:shd w:fill="FFFFFF" w:val="clear"/>
            <w:tcMar>
              <w:bottom w:w="28" w:type="dxa"/>
            </w:tcMar>
            <w:vAlign w:val="center"/>
          </w:tcPr>
          <w:p>
            <w:pPr>
              <w:pStyle w:val="TableContents"/>
              <w:bidi w:val="0"/>
              <w:spacing w:before="0" w:after="283"/>
              <w:jc w:val="right"/>
              <w:rPr/>
            </w:pPr>
            <w:r>
              <w:rPr/>
              <w:t>733</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660" w:type="dxa"/>
            <w:tcBorders/>
            <w:shd w:fill="CCEEFF" w:val="clear"/>
            <w:vAlign w:val="center"/>
          </w:tcPr>
          <w:p>
            <w:pPr>
              <w:pStyle w:val="TableContents"/>
              <w:bidi w:val="0"/>
              <w:spacing w:before="0" w:after="283"/>
              <w:jc w:val="left"/>
              <w:rPr>
                <w:b/>
              </w:rPr>
            </w:pPr>
            <w:r>
              <w:rPr>
                <w:b/>
              </w:rPr>
              <w:t>Total revenue</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6" w:type="dxa"/>
            <w:tcBorders>
              <w:bottom w:val="double" w:sz="10" w:space="0" w:color="000000"/>
            </w:tcBorders>
            <w:shd w:fill="CCEEFF" w:val="clear"/>
            <w:tcMar>
              <w:bottom w:w="28" w:type="dxa"/>
            </w:tcMar>
            <w:vAlign w:val="center"/>
          </w:tcPr>
          <w:p>
            <w:pPr>
              <w:pStyle w:val="TableContents"/>
              <w:bidi w:val="0"/>
              <w:spacing w:before="0" w:after="283"/>
              <w:jc w:val="right"/>
              <w:rPr/>
            </w:pPr>
            <w:r>
              <w:rPr/>
              <w:t>4,617</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6" w:type="dxa"/>
            <w:tcBorders>
              <w:bottom w:val="double" w:sz="10" w:space="0" w:color="000000"/>
            </w:tcBorders>
            <w:shd w:fill="CCEEFF" w:val="clear"/>
            <w:tcMar>
              <w:bottom w:w="28" w:type="dxa"/>
            </w:tcMar>
            <w:vAlign w:val="center"/>
          </w:tcPr>
          <w:p>
            <w:pPr>
              <w:pStyle w:val="TableContents"/>
              <w:bidi w:val="0"/>
              <w:spacing w:before="0" w:after="283"/>
              <w:jc w:val="right"/>
              <w:rPr/>
            </w:pPr>
            <w:r>
              <w:rPr/>
              <w:t>1,589</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6" w:type="dxa"/>
            <w:tcBorders>
              <w:bottom w:val="double" w:sz="10" w:space="0" w:color="000000"/>
            </w:tcBorders>
            <w:shd w:fill="CCEEFF" w:val="clear"/>
            <w:tcMar>
              <w:bottom w:w="28" w:type="dxa"/>
            </w:tcMar>
            <w:vAlign w:val="center"/>
          </w:tcPr>
          <w:p>
            <w:pPr>
              <w:pStyle w:val="TableContents"/>
              <w:bidi w:val="0"/>
              <w:spacing w:before="0" w:after="283"/>
              <w:jc w:val="right"/>
              <w:rPr/>
            </w:pPr>
            <w:r>
              <w:rPr/>
              <w:t>2,479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Old Xanadu’s revenue by geography for the years ended December 31, 2025, 2024, and 2023, based on customer location:</w:t>
      </w:r>
    </w:p>
    <w:p>
      <w:pPr>
        <w:pStyle w:val="TextBody"/>
        <w:bidi w:val="0"/>
        <w:spacing w:before="0" w:after="0"/>
        <w:jc w:val="both"/>
        <w:rPr>
          <w:caps w:val="false"/>
          <w:smallCaps w:val="false"/>
        </w:rPr>
      </w:pPr>
      <w:r>
        <w:rPr>
          <w:caps w:val="false"/>
          <w:smallCaps w:val="false"/>
        </w:rPr>
        <w:t> </w:t>
      </w:r>
    </w:p>
    <w:tbl>
      <w:tblPr>
        <w:tblW w:w="4237" w:type="dxa"/>
        <w:jc w:val="left"/>
        <w:tblInd w:w="0" w:type="dxa"/>
        <w:tblLayout w:type="fixed"/>
        <w:tblCellMar>
          <w:top w:w="0" w:type="dxa"/>
          <w:left w:w="0" w:type="dxa"/>
          <w:bottom w:w="0" w:type="dxa"/>
          <w:right w:w="0" w:type="dxa"/>
        </w:tblCellMar>
      </w:tblPr>
      <w:tblGrid>
        <w:gridCol w:w="1445"/>
        <w:gridCol w:w="60"/>
        <w:gridCol w:w="159"/>
        <w:gridCol w:w="636"/>
        <w:gridCol w:w="68"/>
        <w:gridCol w:w="68"/>
        <w:gridCol w:w="159"/>
        <w:gridCol w:w="636"/>
        <w:gridCol w:w="68"/>
        <w:gridCol w:w="68"/>
        <w:gridCol w:w="159"/>
        <w:gridCol w:w="636"/>
        <w:gridCol w:w="75"/>
      </w:tblGrid>
      <w:tr>
        <w:trPr/>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ind w:left="0" w:right="0" w:hanging="200"/>
              <w:jc w:val="left"/>
              <w:rPr/>
            </w:pPr>
            <w:r>
              <w:rPr/>
              <w:t> </w:t>
            </w:r>
          </w:p>
        </w:tc>
      </w:tr>
      <w:tr>
        <w:trPr/>
        <w:tc>
          <w:tcPr>
            <w:tcW w:w="1445" w:type="dxa"/>
            <w:tcBorders/>
            <w:shd w:fill="CCEEFF" w:val="clear"/>
            <w:vAlign w:val="center"/>
          </w:tcPr>
          <w:p>
            <w:pPr>
              <w:pStyle w:val="TableContents"/>
              <w:bidi w:val="0"/>
              <w:spacing w:before="0" w:after="283"/>
              <w:jc w:val="left"/>
              <w:rPr/>
            </w:pPr>
            <w:r>
              <w:rPr/>
              <w:t>Canada</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636" w:type="dxa"/>
            <w:tcBorders/>
            <w:shd w:fill="CCEEFF" w:val="clear"/>
            <w:vAlign w:val="center"/>
          </w:tcPr>
          <w:p>
            <w:pPr>
              <w:pStyle w:val="TableContents"/>
              <w:bidi w:val="0"/>
              <w:spacing w:before="0" w:after="283"/>
              <w:jc w:val="right"/>
              <w:rPr/>
            </w:pPr>
            <w:r>
              <w:rPr/>
              <w:t>814</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636" w:type="dxa"/>
            <w:tcBorders/>
            <w:shd w:fill="CCEEFF" w:val="clear"/>
            <w:vAlign w:val="center"/>
          </w:tcPr>
          <w:p>
            <w:pPr>
              <w:pStyle w:val="TableContents"/>
              <w:bidi w:val="0"/>
              <w:spacing w:before="0" w:after="283"/>
              <w:jc w:val="right"/>
              <w:rPr/>
            </w:pPr>
            <w:r>
              <w:rPr/>
              <w:t>934</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636" w:type="dxa"/>
            <w:tcBorders/>
            <w:shd w:fill="CCEEFF" w:val="clear"/>
            <w:vAlign w:val="center"/>
          </w:tcPr>
          <w:p>
            <w:pPr>
              <w:pStyle w:val="TableContents"/>
              <w:bidi w:val="0"/>
              <w:spacing w:before="0" w:after="283"/>
              <w:jc w:val="right"/>
              <w:rPr/>
            </w:pPr>
            <w:r>
              <w:rPr/>
              <w:t>1,865</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1445" w:type="dxa"/>
            <w:tcBorders/>
            <w:shd w:fill="FFFFFF" w:val="clear"/>
            <w:vAlign w:val="center"/>
          </w:tcPr>
          <w:p>
            <w:pPr>
              <w:pStyle w:val="TableContents"/>
              <w:bidi w:val="0"/>
              <w:spacing w:before="0" w:after="283"/>
              <w:jc w:val="left"/>
              <w:rPr/>
            </w:pPr>
            <w:r>
              <w:rPr/>
              <w:t>United States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pPr>
            <w:r>
              <w:rPr/>
              <w:t>3,545</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pPr>
            <w:r>
              <w:rPr/>
              <w:t>400</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pPr>
            <w:r>
              <w:rPr/>
              <w:t>488</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1445" w:type="dxa"/>
            <w:tcBorders/>
            <w:shd w:fill="CCEEFF" w:val="clear"/>
            <w:vAlign w:val="center"/>
          </w:tcPr>
          <w:p>
            <w:pPr>
              <w:pStyle w:val="TableContents"/>
              <w:bidi w:val="0"/>
              <w:spacing w:before="0" w:after="283"/>
              <w:jc w:val="left"/>
              <w:rPr/>
            </w:pPr>
            <w:r>
              <w:rPr/>
              <w:t>Rest of world</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6" w:type="dxa"/>
            <w:tcBorders>
              <w:bottom w:val="single" w:sz="12" w:space="0" w:color="000000"/>
            </w:tcBorders>
            <w:shd w:fill="CCEEFF" w:val="clear"/>
            <w:tcMar>
              <w:bottom w:w="28" w:type="dxa"/>
            </w:tcMar>
            <w:vAlign w:val="center"/>
          </w:tcPr>
          <w:p>
            <w:pPr>
              <w:pStyle w:val="TableContents"/>
              <w:bidi w:val="0"/>
              <w:spacing w:before="0" w:after="283"/>
              <w:jc w:val="right"/>
              <w:rPr/>
            </w:pPr>
            <w:r>
              <w:rPr/>
              <w:t>258</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6" w:type="dxa"/>
            <w:tcBorders>
              <w:bottom w:val="single" w:sz="12" w:space="0" w:color="000000"/>
            </w:tcBorders>
            <w:shd w:fill="CCEEFF" w:val="clear"/>
            <w:tcMar>
              <w:bottom w:w="28" w:type="dxa"/>
            </w:tcMar>
            <w:vAlign w:val="center"/>
          </w:tcPr>
          <w:p>
            <w:pPr>
              <w:pStyle w:val="TableContents"/>
              <w:bidi w:val="0"/>
              <w:spacing w:before="0" w:after="283"/>
              <w:jc w:val="right"/>
              <w:rPr/>
            </w:pPr>
            <w:r>
              <w:rPr/>
              <w:t>255</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6" w:type="dxa"/>
            <w:tcBorders>
              <w:bottom w:val="single" w:sz="12" w:space="0" w:color="000000"/>
            </w:tcBorders>
            <w:shd w:fill="CCEEFF" w:val="clear"/>
            <w:tcMar>
              <w:bottom w:w="28" w:type="dxa"/>
            </w:tcMar>
            <w:vAlign w:val="center"/>
          </w:tcPr>
          <w:p>
            <w:pPr>
              <w:pStyle w:val="TableContents"/>
              <w:bidi w:val="0"/>
              <w:spacing w:before="0" w:after="283"/>
              <w:jc w:val="right"/>
              <w:rPr/>
            </w:pPr>
            <w:r>
              <w:rPr/>
              <w:t>126</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1445" w:type="dxa"/>
            <w:tcBorders/>
            <w:shd w:fill="FFFFFF" w:val="clear"/>
            <w:vAlign w:val="center"/>
          </w:tcPr>
          <w:p>
            <w:pPr>
              <w:pStyle w:val="TableContents"/>
              <w:bidi w:val="0"/>
              <w:spacing w:before="0" w:after="283"/>
              <w:jc w:val="left"/>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36" w:type="dxa"/>
            <w:tcBorders>
              <w:bottom w:val="double" w:sz="10" w:space="0" w:color="000000"/>
            </w:tcBorders>
            <w:shd w:fill="FFFFFF" w:val="clear"/>
            <w:tcMar>
              <w:bottom w:w="28" w:type="dxa"/>
            </w:tcMar>
            <w:vAlign w:val="center"/>
          </w:tcPr>
          <w:p>
            <w:pPr>
              <w:pStyle w:val="TableContents"/>
              <w:bidi w:val="0"/>
              <w:spacing w:before="0" w:after="283"/>
              <w:jc w:val="right"/>
              <w:rPr/>
            </w:pPr>
            <w:r>
              <w:rPr/>
              <w:t>4,617</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36" w:type="dxa"/>
            <w:tcBorders>
              <w:bottom w:val="double" w:sz="10" w:space="0" w:color="000000"/>
            </w:tcBorders>
            <w:shd w:fill="FFFFFF" w:val="clear"/>
            <w:tcMar>
              <w:bottom w:w="28" w:type="dxa"/>
            </w:tcMar>
            <w:vAlign w:val="center"/>
          </w:tcPr>
          <w:p>
            <w:pPr>
              <w:pStyle w:val="TableContents"/>
              <w:bidi w:val="0"/>
              <w:spacing w:before="0" w:after="283"/>
              <w:jc w:val="right"/>
              <w:rPr/>
            </w:pPr>
            <w:r>
              <w:rPr/>
              <w:t>1,589</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36" w:type="dxa"/>
            <w:tcBorders>
              <w:bottom w:val="double" w:sz="10" w:space="0" w:color="000000"/>
            </w:tcBorders>
            <w:shd w:fill="FFFFFF" w:val="clear"/>
            <w:tcMar>
              <w:bottom w:w="28" w:type="dxa"/>
            </w:tcMar>
            <w:vAlign w:val="center"/>
          </w:tcPr>
          <w:p>
            <w:pPr>
              <w:pStyle w:val="TableContents"/>
              <w:bidi w:val="0"/>
              <w:spacing w:before="0" w:after="283"/>
              <w:jc w:val="right"/>
              <w:rPr/>
            </w:pPr>
            <w:r>
              <w:rPr/>
              <w:t>2,479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 of world includes countries where revenue from a single country is not greater than 10% of Old Xanadu’s total consolidated revenue for the year ended December 31, 2025 and 2024.</w:t>
      </w:r>
    </w:p>
    <w:p>
      <w:pPr>
        <w:pStyle w:val="TextBody"/>
        <w:bidi w:val="0"/>
        <w:spacing w:before="0" w:after="0"/>
        <w:jc w:val="both"/>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75"/>
        <w:gridCol w:w="290"/>
        <w:gridCol w:w="171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1715" w:type="dxa"/>
            <w:tcBorders/>
            <w:vAlign w:val="center"/>
          </w:tcPr>
          <w:p>
            <w:pPr>
              <w:pStyle w:val="TableContents"/>
              <w:bidi w:val="0"/>
              <w:spacing w:before="0" w:after="283"/>
              <w:jc w:val="both"/>
              <w:rPr/>
            </w:pPr>
            <w:r>
              <w:rPr/>
              <w:t>Contract balances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had contract assets totaling $1,499 and $207 as of December 31, 2025 and 2024, respectively, which are included within accounts receivable in the consolidated balance sheets.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had deferred revenue (or contract liabilities) totaling $544 and $309 as of December 31, 2025 and 2024, respectively, all of which was current. During the years ended December 31, 2025, 2024, and 2023, $309, $39, and $74 of revenue was recognized that was included in the deferred revenue balance as of December 31, 2024, 2023, and 2022, respectively. The increase in deferred revenue of $235 during the year-ended December 31, 2025 is primarily driven by cash payments received or receivable in advance of satisfying Old Xanadu’s performance obligations.</w:t>
      </w:r>
    </w:p>
    <w:p>
      <w:pPr>
        <w:pStyle w:val="TextBody"/>
        <w:bidi w:val="0"/>
        <w:spacing w:before="0" w:after="0"/>
        <w:jc w:val="both"/>
        <w:rPr>
          <w:caps w:val="false"/>
          <w:smallCaps w:val="false"/>
        </w:rPr>
      </w:pPr>
      <w:r>
        <w:rPr>
          <w:caps w:val="false"/>
          <w:smallCaps w:val="false"/>
        </w:rPr>
        <w:t> </w:t>
      </w:r>
    </w:p>
    <w:tbl>
      <w:tblPr>
        <w:tblW w:w="6423" w:type="dxa"/>
        <w:jc w:val="left"/>
        <w:tblInd w:w="0" w:type="dxa"/>
        <w:tblLayout w:type="fixed"/>
        <w:tblCellMar>
          <w:top w:w="0" w:type="dxa"/>
          <w:left w:w="0" w:type="dxa"/>
          <w:bottom w:w="0" w:type="dxa"/>
          <w:right w:w="0" w:type="dxa"/>
        </w:tblCellMar>
      </w:tblPr>
      <w:tblGrid>
        <w:gridCol w:w="38"/>
        <w:gridCol w:w="230"/>
        <w:gridCol w:w="6155"/>
      </w:tblGrid>
      <w:tr>
        <w:trPr/>
        <w:tc>
          <w:tcPr>
            <w:tcW w:w="38" w:type="dxa"/>
            <w:tcBorders/>
            <w:vAlign w:val="center"/>
          </w:tcPr>
          <w:p>
            <w:pPr>
              <w:pStyle w:val="TableContents"/>
              <w:bidi w:val="0"/>
              <w:spacing w:before="0" w:after="283"/>
              <w:ind w:left="360" w:right="0" w:hanging="0"/>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155" w:type="dxa"/>
            <w:tcBorders/>
            <w:vAlign w:val="center"/>
          </w:tcPr>
          <w:p>
            <w:pPr>
              <w:pStyle w:val="TableContents"/>
              <w:bidi w:val="0"/>
              <w:spacing w:before="0" w:after="283"/>
              <w:jc w:val="both"/>
              <w:rPr/>
            </w:pPr>
            <w:r>
              <w:rPr/>
              <w:t>Transaction price allocated to remaining performance obligations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Xanadu’s revenue contracts are primarily short-term in nature with a contract term of six months to several years. For these contracts, Old Xanadu has applied the practical expedient for performance obligations that have an original expected duration of one year or less and does not disclose the remaining performance obligation as of the end of the reporting period or when Old Xanadu expects to recognize the revenue.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approximately $5,154 of revenue is expected to be recognized from remaining performance obligations on existing contracts, of which 100% is expected to be recognized in the next 12 months.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F-71</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i w:val="false"/>
          <w:caps w:val="false"/>
          <w:smallCaps w:val="false"/>
          <w:sz w:val="20"/>
        </w:rPr>
        <w:br/>
        <w:t>Notes to the Consolidated Statements</w:t>
        <w:br/>
        <w:t>(In thousands, except for share and per share amounts)</w:t>
      </w:r>
    </w:p>
    <w:p>
      <w:pPr>
        <w:pStyle w:val="TextBody"/>
        <w:bidi w:val="0"/>
        <w:spacing w:before="0" w:after="0"/>
        <w:jc w:val="both"/>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335"/>
        <w:gridCol w:w="3815"/>
      </w:tblGrid>
      <w:tr>
        <w:trPr/>
        <w:tc>
          <w:tcPr>
            <w:tcW w:w="335" w:type="dxa"/>
            <w:tcBorders/>
            <w:vAlign w:val="center"/>
          </w:tcPr>
          <w:p>
            <w:pPr>
              <w:pStyle w:val="TableContents"/>
              <w:bidi w:val="0"/>
              <w:spacing w:before="0" w:after="283"/>
              <w:jc w:val="left"/>
              <w:rPr>
                <w:b/>
              </w:rPr>
            </w:pPr>
            <w:r>
              <w:rPr>
                <w:b/>
              </w:rPr>
              <w:t>18.</w:t>
            </w:r>
          </w:p>
        </w:tc>
        <w:tc>
          <w:tcPr>
            <w:tcW w:w="3815" w:type="dxa"/>
            <w:tcBorders/>
            <w:vAlign w:val="center"/>
          </w:tcPr>
          <w:p>
            <w:pPr>
              <w:pStyle w:val="TableContents"/>
              <w:bidi w:val="0"/>
              <w:spacing w:before="0" w:after="283"/>
              <w:jc w:val="both"/>
              <w:rPr/>
            </w:pPr>
            <w:r>
              <w:rPr>
                <w:b/>
              </w:rPr>
              <w:t>Revenue and related balances:</w:t>
            </w:r>
            <w:r>
              <w:rPr/>
              <w:t xml:space="preserve"> (cont.)</w:t>
            </w:r>
          </w:p>
        </w:tc>
      </w:tr>
    </w:tbl>
    <w:p>
      <w:pPr>
        <w:pStyle w:val="TextBody"/>
        <w:bidi w:val="0"/>
        <w:spacing w:before="0" w:after="0"/>
        <w:jc w:val="both"/>
        <w:rPr>
          <w:caps w:val="false"/>
          <w:smallCaps w:val="false"/>
        </w:rPr>
      </w:pPr>
      <w:r>
        <w:rPr>
          <w:caps w:val="false"/>
          <w:smallCaps w:val="false"/>
        </w:rPr>
        <w:t> </w:t>
      </w:r>
    </w:p>
    <w:tbl>
      <w:tblPr>
        <w:tblW w:w="2388" w:type="dxa"/>
        <w:jc w:val="left"/>
        <w:tblInd w:w="0" w:type="dxa"/>
        <w:tblLayout w:type="fixed"/>
        <w:tblCellMar>
          <w:top w:w="0" w:type="dxa"/>
          <w:left w:w="0" w:type="dxa"/>
          <w:bottom w:w="0" w:type="dxa"/>
          <w:right w:w="0" w:type="dxa"/>
        </w:tblCellMar>
      </w:tblPr>
      <w:tblGrid>
        <w:gridCol w:w="38"/>
        <w:gridCol w:w="290"/>
        <w:gridCol w:w="20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2060" w:type="dxa"/>
            <w:tcBorders/>
            <w:vAlign w:val="center"/>
          </w:tcPr>
          <w:p>
            <w:pPr>
              <w:pStyle w:val="TableContents"/>
              <w:bidi w:val="0"/>
              <w:spacing w:before="0" w:after="283"/>
              <w:jc w:val="both"/>
              <w:rPr/>
            </w:pPr>
            <w:r>
              <w:rPr/>
              <w:t>Significant customers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percentage of revenue from significant customers which accounted for ten percent or more of total revenue for the years ended December 31, 2025, 2024, and 2023:</w:t>
      </w:r>
    </w:p>
    <w:p>
      <w:pPr>
        <w:pStyle w:val="TextBody"/>
        <w:bidi w:val="0"/>
        <w:spacing w:before="0" w:after="0"/>
        <w:jc w:val="both"/>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130"/>
        <w:gridCol w:w="60"/>
        <w:gridCol w:w="105"/>
        <w:gridCol w:w="458"/>
        <w:gridCol w:w="378"/>
        <w:gridCol w:w="105"/>
        <w:gridCol w:w="105"/>
        <w:gridCol w:w="458"/>
        <w:gridCol w:w="378"/>
        <w:gridCol w:w="105"/>
        <w:gridCol w:w="105"/>
        <w:gridCol w:w="458"/>
        <w:gridCol w:w="230"/>
      </w:tblGrid>
      <w:tr>
        <w:trPr/>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23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378"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5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378"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5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30" w:type="dxa"/>
            <w:tcBorders/>
            <w:vAlign w:val="center"/>
          </w:tcPr>
          <w:p>
            <w:pPr>
              <w:pStyle w:val="TableContents"/>
              <w:bidi w:val="0"/>
              <w:spacing w:before="0" w:after="283"/>
              <w:ind w:left="0" w:right="0" w:hanging="200"/>
              <w:jc w:val="left"/>
              <w:rPr/>
            </w:pPr>
            <w:r>
              <w:rPr/>
              <w:t> </w:t>
            </w:r>
          </w:p>
        </w:tc>
      </w:tr>
      <w:tr>
        <w:trPr/>
        <w:tc>
          <w:tcPr>
            <w:tcW w:w="1130" w:type="dxa"/>
            <w:tcBorders/>
            <w:shd w:fill="CCEEFF" w:val="clear"/>
            <w:vAlign w:val="center"/>
          </w:tcPr>
          <w:p>
            <w:pPr>
              <w:pStyle w:val="TableContents"/>
              <w:bidi w:val="0"/>
              <w:spacing w:before="0" w:after="283"/>
              <w:jc w:val="left"/>
              <w:rPr/>
            </w:pPr>
            <w:r>
              <w:rPr/>
              <w:t>Customer 1</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pPr>
            <w:r>
              <w:rPr/>
              <w:t>44</w:t>
            </w:r>
          </w:p>
        </w:tc>
        <w:tc>
          <w:tcPr>
            <w:tcW w:w="378" w:type="dxa"/>
            <w:tcBorders/>
            <w:shd w:fill="CCEEFF" w:val="clear"/>
            <w:vAlign w:val="center"/>
          </w:tcPr>
          <w:p>
            <w:pPr>
              <w:pStyle w:val="TableContents"/>
              <w:bidi w:val="0"/>
              <w:spacing w:before="0" w:after="283"/>
              <w:jc w:val="lef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pPr>
            <w:r>
              <w:rPr/>
              <w:t>-</w:t>
            </w:r>
          </w:p>
        </w:tc>
        <w:tc>
          <w:tcPr>
            <w:tcW w:w="378"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ind w:left="0" w:right="0" w:hanging="200"/>
              <w:jc w:val="left"/>
              <w:rPr/>
            </w:pPr>
            <w:r>
              <w:rPr/>
              <w:t> </w:t>
            </w:r>
          </w:p>
        </w:tc>
      </w:tr>
      <w:tr>
        <w:trPr/>
        <w:tc>
          <w:tcPr>
            <w:tcW w:w="1130" w:type="dxa"/>
            <w:tcBorders/>
            <w:shd w:fill="FFFFFF" w:val="clear"/>
            <w:vAlign w:val="center"/>
          </w:tcPr>
          <w:p>
            <w:pPr>
              <w:pStyle w:val="TableContents"/>
              <w:bidi w:val="0"/>
              <w:spacing w:before="0" w:after="283"/>
              <w:jc w:val="left"/>
              <w:rPr/>
            </w:pPr>
            <w:r>
              <w:rPr/>
              <w:t>Customer 2</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pPr>
            <w:r>
              <w:rPr/>
              <w:t>20</w:t>
            </w:r>
          </w:p>
        </w:tc>
        <w:tc>
          <w:tcPr>
            <w:tcW w:w="378" w:type="dxa"/>
            <w:tcBorders/>
            <w:shd w:fill="FFFFFF" w:val="clear"/>
            <w:vAlign w:val="center"/>
          </w:tcPr>
          <w:p>
            <w:pPr>
              <w:pStyle w:val="TableContents"/>
              <w:bidi w:val="0"/>
              <w:spacing w:before="0" w:after="283"/>
              <w:jc w:val="left"/>
              <w:rPr/>
            </w:pPr>
            <w:r>
              <w:rPr/>
              <w:t>%</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pPr>
            <w:r>
              <w:rPr/>
              <w:t>10</w:t>
            </w:r>
          </w:p>
        </w:tc>
        <w:tc>
          <w:tcPr>
            <w:tcW w:w="378" w:type="dxa"/>
            <w:tcBorders/>
            <w:shd w:fill="FFFFFF" w:val="clear"/>
            <w:vAlign w:val="center"/>
          </w:tcPr>
          <w:p>
            <w:pPr>
              <w:pStyle w:val="TableContents"/>
              <w:bidi w:val="0"/>
              <w:spacing w:before="0" w:after="283"/>
              <w:jc w:val="left"/>
              <w:rPr/>
            </w:pPr>
            <w:r>
              <w:rPr/>
              <w:t>%</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ind w:left="0" w:right="0" w:hanging="200"/>
              <w:jc w:val="left"/>
              <w:rPr/>
            </w:pPr>
            <w:r>
              <w:rPr/>
              <w:t> </w:t>
            </w:r>
          </w:p>
        </w:tc>
      </w:tr>
      <w:tr>
        <w:trPr/>
        <w:tc>
          <w:tcPr>
            <w:tcW w:w="1130" w:type="dxa"/>
            <w:tcBorders/>
            <w:shd w:fill="CCEEFF" w:val="clear"/>
            <w:vAlign w:val="center"/>
          </w:tcPr>
          <w:p>
            <w:pPr>
              <w:pStyle w:val="TableContents"/>
              <w:bidi w:val="0"/>
              <w:spacing w:before="0" w:after="283"/>
              <w:jc w:val="left"/>
              <w:rPr/>
            </w:pPr>
            <w:r>
              <w:rPr/>
              <w:t>Customer 3</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pPr>
            <w:r>
              <w:rPr/>
              <w:t>14</w:t>
            </w:r>
          </w:p>
        </w:tc>
        <w:tc>
          <w:tcPr>
            <w:tcW w:w="378" w:type="dxa"/>
            <w:tcBorders/>
            <w:shd w:fill="CCEEFF" w:val="clear"/>
            <w:vAlign w:val="center"/>
          </w:tcPr>
          <w:p>
            <w:pPr>
              <w:pStyle w:val="TableContents"/>
              <w:bidi w:val="0"/>
              <w:spacing w:before="0" w:after="283"/>
              <w:jc w:val="lef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pPr>
            <w:r>
              <w:rPr/>
              <w:t>53</w:t>
            </w:r>
          </w:p>
        </w:tc>
        <w:tc>
          <w:tcPr>
            <w:tcW w:w="378" w:type="dxa"/>
            <w:tcBorders/>
            <w:shd w:fill="CCEEFF" w:val="clear"/>
            <w:vAlign w:val="center"/>
          </w:tcPr>
          <w:p>
            <w:pPr>
              <w:pStyle w:val="TableContents"/>
              <w:bidi w:val="0"/>
              <w:spacing w:before="0" w:after="283"/>
              <w:jc w:val="lef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pPr>
            <w:r>
              <w:rPr/>
              <w:t>70</w:t>
            </w:r>
          </w:p>
        </w:tc>
        <w:tc>
          <w:tcPr>
            <w:tcW w:w="230" w:type="dxa"/>
            <w:tcBorders/>
            <w:shd w:fill="CCEEFF" w:val="clear"/>
            <w:vAlign w:val="center"/>
          </w:tcPr>
          <w:p>
            <w:pPr>
              <w:pStyle w:val="TableContents"/>
              <w:bidi w:val="0"/>
              <w:spacing w:before="0" w:after="283"/>
              <w:ind w:left="0" w:right="0" w:hanging="200"/>
              <w:jc w:val="left"/>
              <w:rPr/>
            </w:pPr>
            <w:r>
              <w:rPr/>
              <w:t>%</w:t>
            </w:r>
          </w:p>
        </w:tc>
      </w:tr>
      <w:tr>
        <w:trPr/>
        <w:tc>
          <w:tcPr>
            <w:tcW w:w="1130" w:type="dxa"/>
            <w:tcBorders/>
            <w:shd w:fill="FFFFFF" w:val="clear"/>
            <w:vAlign w:val="center"/>
          </w:tcPr>
          <w:p>
            <w:pPr>
              <w:pStyle w:val="TableContents"/>
              <w:bidi w:val="0"/>
              <w:spacing w:before="0" w:after="283"/>
              <w:jc w:val="left"/>
              <w:rPr/>
            </w:pPr>
            <w:r>
              <w:rPr/>
              <w:t>Customer 4</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pPr>
            <w:r>
              <w:rPr/>
              <w:t>-</w:t>
            </w:r>
          </w:p>
        </w:tc>
        <w:tc>
          <w:tcPr>
            <w:tcW w:w="378"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pPr>
            <w:r>
              <w:rPr/>
              <w:t>-</w:t>
            </w:r>
          </w:p>
        </w:tc>
        <w:tc>
          <w:tcPr>
            <w:tcW w:w="378"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pPr>
            <w:r>
              <w:rPr/>
              <w:t>15</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2024, and 2023, none of the outstanding customers have a receivables balance which exceeds 10% of the total trade and other receivables balance.</w:t>
      </w:r>
    </w:p>
    <w:p>
      <w:pPr>
        <w:pStyle w:val="TextBody"/>
        <w:bidi w:val="0"/>
        <w:spacing w:before="0" w:after="0"/>
        <w:jc w:val="both"/>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335"/>
        <w:gridCol w:w="3305"/>
      </w:tblGrid>
      <w:tr>
        <w:trPr/>
        <w:tc>
          <w:tcPr>
            <w:tcW w:w="335" w:type="dxa"/>
            <w:tcBorders/>
            <w:vAlign w:val="center"/>
          </w:tcPr>
          <w:p>
            <w:pPr>
              <w:pStyle w:val="TableContents"/>
              <w:bidi w:val="0"/>
              <w:spacing w:before="0" w:after="283"/>
              <w:jc w:val="left"/>
              <w:rPr>
                <w:b/>
              </w:rPr>
            </w:pPr>
            <w:r>
              <w:rPr>
                <w:b/>
              </w:rPr>
              <w:t>19.</w:t>
            </w:r>
          </w:p>
        </w:tc>
        <w:tc>
          <w:tcPr>
            <w:tcW w:w="3305" w:type="dxa"/>
            <w:tcBorders/>
            <w:vAlign w:val="center"/>
          </w:tcPr>
          <w:p>
            <w:pPr>
              <w:pStyle w:val="TableContents"/>
              <w:bidi w:val="0"/>
              <w:spacing w:before="0" w:after="283"/>
              <w:jc w:val="both"/>
              <w:rPr>
                <w:b/>
              </w:rPr>
            </w:pPr>
            <w:r>
              <w:rPr>
                <w:b/>
              </w:rPr>
              <w:t>Commitment and contingencies:</w:t>
            </w:r>
          </w:p>
        </w:tc>
      </w:tr>
    </w:tbl>
    <w:p>
      <w:pPr>
        <w:pStyle w:val="TextBody"/>
        <w:bidi w:val="0"/>
        <w:spacing w:before="0" w:after="0"/>
        <w:jc w:val="both"/>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75"/>
        <w:gridCol w:w="275"/>
        <w:gridCol w:w="168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1685" w:type="dxa"/>
            <w:tcBorders/>
            <w:vAlign w:val="center"/>
          </w:tcPr>
          <w:p>
            <w:pPr>
              <w:pStyle w:val="TableContents"/>
              <w:bidi w:val="0"/>
              <w:spacing w:before="0" w:after="283"/>
              <w:jc w:val="both"/>
              <w:rPr/>
            </w:pPr>
            <w:r>
              <w:rPr/>
              <w:t>Lease obligations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14 for information on Old Xanadu’s lease obligations as of December 31, 2025.</w:t>
      </w:r>
    </w:p>
    <w:p>
      <w:pPr>
        <w:pStyle w:val="TextBody"/>
        <w:bidi w:val="0"/>
        <w:spacing w:before="0" w:after="0"/>
        <w:jc w:val="both"/>
        <w:rPr>
          <w:caps w:val="false"/>
          <w:smallCaps w:val="false"/>
        </w:rPr>
      </w:pPr>
      <w:r>
        <w:rPr>
          <w:caps w:val="false"/>
          <w:smallCaps w:val="false"/>
        </w:rPr>
        <w:t> </w:t>
      </w:r>
    </w:p>
    <w:tbl>
      <w:tblPr>
        <w:tblW w:w="1315" w:type="dxa"/>
        <w:jc w:val="left"/>
        <w:tblInd w:w="0" w:type="dxa"/>
        <w:tblLayout w:type="fixed"/>
        <w:tblCellMar>
          <w:top w:w="0" w:type="dxa"/>
          <w:left w:w="0" w:type="dxa"/>
          <w:bottom w:w="0" w:type="dxa"/>
          <w:right w:w="0" w:type="dxa"/>
        </w:tblCellMar>
      </w:tblPr>
      <w:tblGrid>
        <w:gridCol w:w="75"/>
        <w:gridCol w:w="290"/>
        <w:gridCol w:w="95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950" w:type="dxa"/>
            <w:tcBorders/>
            <w:vAlign w:val="center"/>
          </w:tcPr>
          <w:p>
            <w:pPr>
              <w:pStyle w:val="TableContents"/>
              <w:bidi w:val="0"/>
              <w:spacing w:before="0" w:after="283"/>
              <w:jc w:val="both"/>
              <w:rPr/>
            </w:pPr>
            <w:r>
              <w:rPr/>
              <w:t>Litigation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Old Xanadu may become a party to various legal proceedings in the ordinary course of business. Management believes that there are currently no claims or actions pending against Old Xanadu, the ultimate disposition of which could have a material adverse effect on Old Xanadu’s results of operations, financial condition, or cash flows, including third party infringement claims, labor and employment claims and threatened claims, tax and other matters.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Old Xanadu may agree to indemnify third parties with whom it enters into contractual relationships, including customers, lessors, and parties to other transactions with Old Xanadu, with respect to certain matters. Pursuant to these arrangements, Old Xanadu indemnifies, holds harmless and agrees to reimburse the indemnified parties for certain losses suffered or incurred by the indemnified party. It is not possible to reasonably estimate the overall maximum amount of these indemnification obligations. Historically, Old Xanadu has not been required to make payments under these obligations and, therefore, no liabilities have been recorded for these obligations in Old Xanadu’s consolidated balance sheets.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Old Xanadu was not subject to any material litigation or material pending litigation claims.</w:t>
      </w:r>
    </w:p>
    <w:p>
      <w:pPr>
        <w:pStyle w:val="TextBody"/>
        <w:bidi w:val="0"/>
        <w:spacing w:before="0" w:after="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335"/>
        <w:gridCol w:w="2240"/>
      </w:tblGrid>
      <w:tr>
        <w:trPr/>
        <w:tc>
          <w:tcPr>
            <w:tcW w:w="335" w:type="dxa"/>
            <w:tcBorders/>
            <w:vAlign w:val="center"/>
          </w:tcPr>
          <w:p>
            <w:pPr>
              <w:pStyle w:val="TableContents"/>
              <w:bidi w:val="0"/>
              <w:spacing w:before="0" w:after="283"/>
              <w:jc w:val="left"/>
              <w:rPr>
                <w:b/>
              </w:rPr>
            </w:pPr>
            <w:r>
              <w:rPr>
                <w:b/>
              </w:rPr>
              <w:t>20.</w:t>
            </w:r>
          </w:p>
        </w:tc>
        <w:tc>
          <w:tcPr>
            <w:tcW w:w="2240" w:type="dxa"/>
            <w:tcBorders/>
            <w:vAlign w:val="center"/>
          </w:tcPr>
          <w:p>
            <w:pPr>
              <w:pStyle w:val="TableContents"/>
              <w:bidi w:val="0"/>
              <w:spacing w:before="0" w:after="283"/>
              <w:jc w:val="both"/>
              <w:rPr>
                <w:b/>
              </w:rPr>
            </w:pPr>
            <w:r>
              <w:rPr>
                <w:b/>
              </w:rPr>
              <w:t>Segment information: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defined as components of an enterprise for which separate discrete information is available for evaluation by the chief operating decision maker (“CODM”) in deciding how to allocate resources and in assessing performance.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Xanadu’s CODM is its Chief Executive Officer. The CODM has determined that Old Xanadu operates in a single operating and reportable segment and manages segment performance and resource allocation based upon consolidated net loss. The measure of segment assets is reported on the consolidated balance sheets as total consolidated assets. Significant expenses reviewed by the CODM include those that are presented in the consolidated statements of operations and comprehensive loss. The CODM evaluates actual results compared to forecasted results for consolidated net loss, including significant expenses, when making decisions about allocating resources.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i w:val="false"/>
          <w:caps w:val="false"/>
          <w:smallCaps w:val="false"/>
          <w:sz w:val="20"/>
        </w:rPr>
        <w:br/>
        <w:t>Notes to the Consolidated Statements</w:t>
        <w:br/>
        <w:t>(In thousands, except for share and per share amounts)</w:t>
      </w:r>
    </w:p>
    <w:p>
      <w:pPr>
        <w:pStyle w:val="TextBody"/>
        <w:bidi w:val="0"/>
        <w:spacing w:before="0" w:after="0"/>
        <w:jc w:val="both"/>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335"/>
        <w:gridCol w:w="2915"/>
      </w:tblGrid>
      <w:tr>
        <w:trPr/>
        <w:tc>
          <w:tcPr>
            <w:tcW w:w="335" w:type="dxa"/>
            <w:tcBorders/>
            <w:vAlign w:val="center"/>
          </w:tcPr>
          <w:p>
            <w:pPr>
              <w:pStyle w:val="TableContents"/>
              <w:bidi w:val="0"/>
              <w:spacing w:before="0" w:after="283"/>
              <w:jc w:val="left"/>
              <w:rPr>
                <w:b/>
              </w:rPr>
            </w:pPr>
            <w:r>
              <w:rPr>
                <w:b/>
              </w:rPr>
              <w:t>20.</w:t>
            </w:r>
          </w:p>
        </w:tc>
        <w:tc>
          <w:tcPr>
            <w:tcW w:w="2915" w:type="dxa"/>
            <w:tcBorders/>
            <w:vAlign w:val="center"/>
          </w:tcPr>
          <w:p>
            <w:pPr>
              <w:pStyle w:val="TableContents"/>
              <w:bidi w:val="0"/>
              <w:spacing w:before="0" w:after="283"/>
              <w:jc w:val="both"/>
              <w:rPr/>
            </w:pPr>
            <w:r>
              <w:rPr>
                <w:b/>
              </w:rPr>
              <w:t xml:space="preserve">Segment information: </w:t>
            </w:r>
            <w:r>
              <w:rPr/>
              <w:t>(cont.)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Old Xanadu’s long-lived assets are located in Canada. Refer to note 18 for additional information about Old Xanadu’s revenue by geography.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Old Xanadu’s segment information of revenue, significant expenses and net loss:</w:t>
      </w:r>
    </w:p>
    <w:p>
      <w:pPr>
        <w:pStyle w:val="TextBody"/>
        <w:bidi w:val="0"/>
        <w:spacing w:before="0" w:after="0"/>
        <w:jc w:val="both"/>
        <w:rPr>
          <w:caps w:val="false"/>
          <w:smallCaps w:val="false"/>
        </w:rPr>
      </w:pPr>
      <w:r>
        <w:rPr>
          <w:caps w:val="false"/>
          <w:smallCaps w:val="false"/>
        </w:rPr>
        <w:t> </w:t>
      </w:r>
    </w:p>
    <w:tbl>
      <w:tblPr>
        <w:tblW w:w="9545" w:type="dxa"/>
        <w:jc w:val="left"/>
        <w:tblInd w:w="0" w:type="dxa"/>
        <w:tblLayout w:type="fixed"/>
        <w:tblCellMar>
          <w:top w:w="0" w:type="dxa"/>
          <w:left w:w="0" w:type="dxa"/>
          <w:bottom w:w="0" w:type="dxa"/>
          <w:right w:w="0" w:type="dxa"/>
        </w:tblCellMar>
      </w:tblPr>
      <w:tblGrid>
        <w:gridCol w:w="6380"/>
        <w:gridCol w:w="60"/>
        <w:gridCol w:w="140"/>
        <w:gridCol w:w="755"/>
        <w:gridCol w:w="95"/>
        <w:gridCol w:w="60"/>
        <w:gridCol w:w="140"/>
        <w:gridCol w:w="755"/>
        <w:gridCol w:w="95"/>
        <w:gridCol w:w="60"/>
        <w:gridCol w:w="140"/>
        <w:gridCol w:w="755"/>
        <w:gridCol w:w="110"/>
      </w:tblGrid>
      <w:tr>
        <w:trPr/>
        <w:tc>
          <w:tcPr>
            <w:tcW w:w="6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ind w:left="0" w:right="0" w:hanging="200"/>
              <w:jc w:val="left"/>
              <w:rPr/>
            </w:pPr>
            <w:r>
              <w:rPr/>
              <w:t> </w:t>
            </w:r>
          </w:p>
        </w:tc>
      </w:tr>
      <w:tr>
        <w:trPr/>
        <w:tc>
          <w:tcPr>
            <w:tcW w:w="638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4,617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1,589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2,479</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380" w:type="dxa"/>
            <w:tcBorders/>
            <w:shd w:fill="FFFFFF" w:val="clear"/>
            <w:vAlign w:val="center"/>
          </w:tcPr>
          <w:p>
            <w:pPr>
              <w:pStyle w:val="TableContents"/>
              <w:bidi w:val="0"/>
              <w:spacing w:before="0" w:after="283"/>
              <w:jc w:val="left"/>
              <w:rPr/>
            </w:pPr>
            <w:r>
              <w:rPr/>
              <w:t>Less: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380" w:type="dxa"/>
            <w:tcBorders/>
            <w:shd w:fill="CCEEFF" w:val="clear"/>
            <w:vAlign w:val="center"/>
          </w:tcPr>
          <w:p>
            <w:pPr>
              <w:pStyle w:val="TableContents"/>
              <w:bidi w:val="0"/>
              <w:spacing w:before="0" w:after="283"/>
              <w:jc w:val="left"/>
              <w:rPr/>
            </w:pPr>
            <w:r>
              <w:rPr/>
              <w:t>Operating expenses excluding salaries and payroll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380" w:type="dxa"/>
            <w:tcBorders/>
            <w:shd w:fill="FFFFFF" w:val="clear"/>
            <w:vAlign w:val="center"/>
          </w:tcPr>
          <w:p>
            <w:pPr>
              <w:pStyle w:val="TableContents"/>
              <w:bidi w:val="0"/>
              <w:spacing w:before="0" w:after="283"/>
              <w:jc w:val="left"/>
              <w:rPr/>
            </w:pPr>
            <w:r>
              <w:rPr/>
              <w:t>Cost of revenue (exclusive of depreciation and amortization below)</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38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(25,839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(14,793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(15,198</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638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(11,308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(3,743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(3,913</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638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(77</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6380" w:type="dxa"/>
            <w:tcBorders/>
            <w:shd w:fill="FFFFFF" w:val="clear"/>
            <w:vAlign w:val="center"/>
          </w:tcPr>
          <w:p>
            <w:pPr>
              <w:pStyle w:val="TableContents"/>
              <w:bidi w:val="0"/>
              <w:spacing w:before="0" w:after="283"/>
              <w:jc w:val="left"/>
              <w:rPr/>
            </w:pPr>
            <w:r>
              <w:rPr/>
              <w:t>Salaries and share-based compensation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(34,477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(28,435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(23,776</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638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(5,849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(4,869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(3,730</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6380" w:type="dxa"/>
            <w:tcBorders/>
            <w:shd w:fill="FFFFFF" w:val="clear"/>
            <w:vAlign w:val="center"/>
          </w:tcPr>
          <w:p>
            <w:pPr>
              <w:pStyle w:val="TableContents"/>
              <w:bidi w:val="0"/>
              <w:spacing w:before="0" w:after="283"/>
              <w:jc w:val="left"/>
              <w:rPr/>
            </w:pPr>
            <w:r>
              <w:rPr/>
              <w:t>Interest income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4,670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6,507</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380" w:type="dxa"/>
            <w:tcBorders/>
            <w:shd w:fill="CCEEFF" w:val="clear"/>
            <w:vAlign w:val="center"/>
          </w:tcPr>
          <w:p>
            <w:pPr>
              <w:pStyle w:val="TableContents"/>
              <w:bidi w:val="0"/>
              <w:spacing w:before="0" w:after="283"/>
              <w:jc w:val="left"/>
              <w:rPr>
                <w:sz w:val="20"/>
              </w:rPr>
            </w:pPr>
            <w:r>
              <w:rPr>
                <w:sz w:val="20"/>
              </w:rPr>
              <w:t>Other segment items</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1,559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2,116</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38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(70,667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(45,968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(35,592</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(1)</w:t>
            </w:r>
          </w:p>
        </w:tc>
        <w:tc>
          <w:tcPr>
            <w:tcW w:w="9934" w:type="dxa"/>
            <w:tcBorders/>
            <w:vAlign w:val="center"/>
          </w:tcPr>
          <w:p>
            <w:pPr>
              <w:pStyle w:val="TableContents"/>
              <w:bidi w:val="0"/>
              <w:spacing w:before="0" w:after="283"/>
              <w:jc w:val="both"/>
              <w:rPr/>
            </w:pPr>
            <w:r>
              <w:rPr/>
              <w:t>Other segment items include other operating income, net and other income (expense), net which are reflected in the consolidated statements of operations and comprehensive loss.</w:t>
            </w:r>
          </w:p>
        </w:tc>
      </w:tr>
    </w:tbl>
    <w:p>
      <w:pPr>
        <w:pStyle w:val="TextBody"/>
        <w:bidi w:val="0"/>
        <w:spacing w:before="0" w:after="0"/>
        <w:jc w:val="both"/>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335"/>
        <w:gridCol w:w="4175"/>
      </w:tblGrid>
      <w:tr>
        <w:trPr/>
        <w:tc>
          <w:tcPr>
            <w:tcW w:w="335" w:type="dxa"/>
            <w:tcBorders/>
            <w:vAlign w:val="center"/>
          </w:tcPr>
          <w:p>
            <w:pPr>
              <w:pStyle w:val="TableContents"/>
              <w:bidi w:val="0"/>
              <w:spacing w:before="0" w:after="283"/>
              <w:jc w:val="left"/>
              <w:rPr>
                <w:b/>
              </w:rPr>
            </w:pPr>
            <w:r>
              <w:rPr>
                <w:b/>
              </w:rPr>
              <w:t>21.</w:t>
            </w:r>
          </w:p>
        </w:tc>
        <w:tc>
          <w:tcPr>
            <w:tcW w:w="4175" w:type="dxa"/>
            <w:tcBorders/>
            <w:vAlign w:val="center"/>
          </w:tcPr>
          <w:p>
            <w:pPr>
              <w:pStyle w:val="TableContents"/>
              <w:bidi w:val="0"/>
              <w:spacing w:before="0" w:after="283"/>
              <w:jc w:val="both"/>
              <w:rPr>
                <w:b/>
              </w:rPr>
            </w:pPr>
            <w:r>
              <w:rPr>
                <w:b/>
              </w:rPr>
              <w:t>Related party transactions and balances: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 2025, Xanadu was incorporated for the purpose of facilitating the Business Combination. Xanadu is 100% owned by Old Xanadu’s Chief Executive Officer.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Old Xanadu has paid $1,806 of deferred transaction costs related to the Business Combination and $12 of audit fees on behalf of Xanadu. The total of these charges are due and payable from Xanadu and recorded as a related party receivable within accounts receivable on the Consolidated Balance Sheet as at December 31, 2025. The amounts are due on demand and are non-interest bearing.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successful completion of the Business Combination, these deferred costs will be recognized as a reduction of equity with the combined companies. In the event the Business Combination is not consummated, these costs will be charged to expense in the period that such determination is made.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i w:val="false"/>
          <w:caps w:val="false"/>
          <w:smallCaps w:val="false"/>
          <w:sz w:val="20"/>
        </w:rPr>
        <w:br/>
        <w:t>Notes to the Consolidated Statements</w:t>
        <w:br/>
        <w:t>(In thousands, except for share and per share amounts)</w:t>
      </w:r>
    </w:p>
    <w:p>
      <w:pPr>
        <w:pStyle w:val="TextBody"/>
        <w:bidi w:val="0"/>
        <w:spacing w:before="0" w:after="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335"/>
        <w:gridCol w:w="1985"/>
      </w:tblGrid>
      <w:tr>
        <w:trPr/>
        <w:tc>
          <w:tcPr>
            <w:tcW w:w="335" w:type="dxa"/>
            <w:tcBorders/>
            <w:vAlign w:val="center"/>
          </w:tcPr>
          <w:p>
            <w:pPr>
              <w:pStyle w:val="TableContents"/>
              <w:bidi w:val="0"/>
              <w:spacing w:before="0" w:after="283"/>
              <w:jc w:val="left"/>
              <w:rPr>
                <w:b/>
              </w:rPr>
            </w:pPr>
            <w:r>
              <w:rPr>
                <w:b/>
              </w:rPr>
              <w:t>22.</w:t>
            </w:r>
          </w:p>
        </w:tc>
        <w:tc>
          <w:tcPr>
            <w:tcW w:w="1985" w:type="dxa"/>
            <w:tcBorders/>
            <w:vAlign w:val="center"/>
          </w:tcPr>
          <w:p>
            <w:pPr>
              <w:pStyle w:val="TableContents"/>
              <w:bidi w:val="0"/>
              <w:spacing w:before="0" w:after="283"/>
              <w:jc w:val="both"/>
              <w:rPr>
                <w:b/>
              </w:rPr>
            </w:pPr>
            <w:r>
              <w:rPr>
                <w:b/>
              </w:rPr>
              <w:t>Subsequent events: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has evaluated all events occurring through April 9, 2026, the date on which the Annual Financial Statements were issued, and during which time, no significant events occurred outside the normal course of business operations that would require disclosure except the following:</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82"/>
        <w:gridCol w:w="9885"/>
      </w:tblGrid>
      <w:tr>
        <w:trPr/>
        <w:tc>
          <w:tcPr>
            <w:tcW w:w="3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(a)</w:t>
            </w:r>
          </w:p>
        </w:tc>
        <w:tc>
          <w:tcPr>
            <w:tcW w:w="9885" w:type="dxa"/>
            <w:tcBorders/>
            <w:vAlign w:val="center"/>
          </w:tcPr>
          <w:p>
            <w:pPr>
              <w:pStyle w:val="TableContents"/>
              <w:bidi w:val="0"/>
              <w:spacing w:before="0" w:after="283"/>
              <w:jc w:val="left"/>
              <w:rPr/>
            </w:pPr>
            <w:r>
              <w:rPr/>
              <w:t>On November 3, 2025, Old Xanadu entered into the Business Combination with SPAC, and Xanadu.</w:t>
            </w:r>
          </w:p>
        </w:tc>
      </w:tr>
    </w:tbl>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On the Closing Date, Xanadu, Old Xanadu and SPAC consummated the Business Combination. Upon closing, Xanadu became the parent entity of both Old Xanadu and SPAC. Pre-closing, Xanadu’s authorized share capital was amended to consist of three classes of shares: multiple voting shares (the “Class A Multiple Voting Shares”), subordinate voting shares (the Class B Subordinate Voting Shares”), and preferred shares issuable in series. At closing of the Business Combination and PIPE Financing, only Class A Multiple Voting Shares and Class B Subordinate Voting Shares were issued and outstanding; no preferred shares have been issued. Each Class A Multiple Voting Share entitles the holder to ten votes per share and each Class B Subordinate Voting Share entitles the holder to one vote per share. Xanadu has authorized an unlimited amount of Class A Multiple Voting Shares, Class B Subordinate Voting Shares, and preferred shares, with no par value.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(i) each outstanding Old Xanadu preferred share was converted into and exchanged for one Old Xanadu voting common share; and (ii) one minute thereafter, (A) each outstanding Old Xanadu voting common share (including those issued upon conversion of Old Xanadu preferred shares) was transferred to Xanadu in exchange for Class A Multiple Voting Shares, and (B) each outstanding Old Xanadu non-voting common share was transferred to Xanadu in exchange for Class B Subordinate Voting Shares, in each case, in a number equal to the Exchange Ratio (as defined in the plan of arrangement with respect to the Business Combination (the “Plan of Arrangement”)), with no fractional Xanadu shares issued.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minute after the foregoing, (i) each option to acquire an Old Xanadu voting common share outstanding immediately prior to the Arrangement Effective Time (as defined in the Plan of Arrangement) (whether vested or unvested and notwithstanding the terms of any Old Xanadu equity incentive plan) was exchanged for  options to acquire Class A Multiple Voting Shares and, (ii) each option to acquire an Old Xanadu non-voting common share outstanding immediately prior to the Arrangement Effective Time (whether vested or unvested and notwithstanding the terms of any Old Xanadu equity incentive plan) was exchanged for options to acquire Xanadu Class B Subordinate Voting Shares.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minute after the foregoing, (i) the SFTrust Warrants (as defined in the Plan of Arrangement) outstanding immediately prior to the Arrangement Effective Time were exchanged for warrants to purchase Class A Multiple Voting Shares and, (ii) the RBC Warrant (as defined in the Plan of Arrangement) outstanding immediately prior to the Arrangement Effective Time were exchanged for warrants to purchase Class B Subordinate Voting Shares.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19,428,395 SPAC Class A common shares exercised their right to redeem such shares for a pro rata portion of SPAC’s trust account, resulting in aggregate redemption payments of approximately $201,154 ($10.35 per share) out of approximately $227,800 in the SPAC trust account at the time. After redemptions, 3,211,605 SPAC Class A shares remained outstanding and were exchanged for Class B Subordinate Voting Shares.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closing of the Business Combination, Xanadu issued 27,500,000 Class B Subordinate Voting Shares to certain institutional and accredited investors at $10.00 per share for aggregate gross proceeds of $275,000 pursuant to subscription agreements entered into in connection with the Business Combination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F-74</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i w:val="false"/>
          <w:caps w:val="false"/>
          <w:smallCaps w:val="false"/>
          <w:sz w:val="20"/>
        </w:rPr>
        <w:br/>
        <w:t>Notes to the Consolidated Statements</w:t>
        <w:br/>
        <w:t>(In thousands, except for share and per share amounts)</w:t>
      </w:r>
    </w:p>
    <w:p>
      <w:pPr>
        <w:pStyle w:val="TextBody"/>
        <w:bidi w:val="0"/>
        <w:spacing w:before="0" w:after="0"/>
        <w:jc w:val="both"/>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335"/>
        <w:gridCol w:w="2660"/>
      </w:tblGrid>
      <w:tr>
        <w:trPr/>
        <w:tc>
          <w:tcPr>
            <w:tcW w:w="335" w:type="dxa"/>
            <w:tcBorders/>
            <w:vAlign w:val="center"/>
          </w:tcPr>
          <w:p>
            <w:pPr>
              <w:pStyle w:val="TableContents"/>
              <w:bidi w:val="0"/>
              <w:spacing w:before="0" w:after="283"/>
              <w:jc w:val="left"/>
              <w:rPr>
                <w:b/>
              </w:rPr>
            </w:pPr>
            <w:r>
              <w:rPr>
                <w:b/>
              </w:rPr>
              <w:t>22.</w:t>
            </w:r>
          </w:p>
        </w:tc>
        <w:tc>
          <w:tcPr>
            <w:tcW w:w="2660" w:type="dxa"/>
            <w:tcBorders/>
            <w:vAlign w:val="center"/>
          </w:tcPr>
          <w:p>
            <w:pPr>
              <w:pStyle w:val="TableContents"/>
              <w:bidi w:val="0"/>
              <w:spacing w:before="0" w:after="283"/>
              <w:jc w:val="both"/>
              <w:rPr/>
            </w:pPr>
            <w:r>
              <w:rPr>
                <w:b/>
              </w:rPr>
              <w:t xml:space="preserve">Subsequent events: </w:t>
            </w:r>
            <w:r>
              <w:rPr/>
              <w:t>(cont.)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contingent on the issuance of the Class B Subordinate Voting Shares, Old Xanadu has commitments of up to $28,950 of fees associated with the closing of the equity raise.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27, 2026, in connection with the closing of the Business Combination, Xanadu was listed on Nasdaq and the TSX under the symbol “XNDU”.</w:t>
        <w:br/>
        <w:br/>
        <w:t>For accounting purposes, the Business Combination will be accounted for as a reverse recapitalization whereby Old Xanadu will be treated as the accounting acquirer and SPAC will be treated as the acquired company. Xanadu is the legal parent and is not considered to be the accounting acquirer or acquiree in the Business Combination in accordance with U.S. GAAP.</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ind w:left="360" w:right="0" w:hanging="0"/>
              <w:jc w:val="left"/>
              <w:rPr/>
            </w:pPr>
            <w:r>
              <w:rPr/>
              <w:t>(b)</w:t>
            </w:r>
          </w:p>
        </w:tc>
        <w:tc>
          <w:tcPr>
            <w:tcW w:w="9936"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Old Xanadu undertook a pre-closing reorganization. Pursuant to the pre-closing reorganization, Old Xanadu (among other things) transferred certain intangible assets of Old Xanadu to a wholly-owned subsidiary of Old Xanadu, resulting in an increase in the capital dividend account of Old Xanadu. The benefits of the capital dividend account were determined and allocated to certain Old Xanadu shareholders, as determined by the Old Xanadu Board.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ind w:left="360" w:right="0" w:hanging="0"/>
              <w:jc w:val="left"/>
              <w:rPr/>
            </w:pPr>
            <w:r>
              <w:rPr/>
              <w:t>(c)</w:t>
            </w:r>
          </w:p>
        </w:tc>
        <w:tc>
          <w:tcPr>
            <w:tcW w:w="9942"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30, 2026, the holder of the outstanding SFTrust Warrants elected to settle the instruments through a cashless net exercise feature. Per the terms of the warrant agreement, the holder surrendered 2,447 warrants to cover the aggregate exercise price, resulting in the issuance of 517,527 Class A Multiple Voting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F-75</w:t>
      </w:r>
    </w:p>
    <w:p>
      <w:pPr>
        <w:pStyle w:val="TextBody"/>
        <w:bidi w:val="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146035</Words>
  <Characters>811674</Characters>
  <CharactersWithSpaces>962521</CharactersWithSpaces>
  <Paragraphs>20962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