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FORM 6-K</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Report of Foreign Private Issuer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Rule 13A-16 or 15D-16</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 the month of May 2026</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001-43205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Xanadu Quantum Technologies Limited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(Translation of registrant’s name into English)</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777 Bay Street, Toronto, Ontario M5G 2C8</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files or will file annual reports under cover of Form 20-F or Form 40-F.</w:t>
      </w:r>
    </w:p>
    <w:p>
      <w:pPr>
        <w:pStyle w:val="TextBody"/>
        <w:bidi w:val="0"/>
        <w:spacing w:lineRule="auto" w:line="288" w:before="0" w:after="24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8"/>
        </w:rPr>
        <w:t>x</w:t>
      </w:r>
      <w:r>
        <w:rPr>
          <w:color w:val="000000"/>
        </w:rPr>
        <w:t>    </w:t>
      </w:r>
      <w:r>
        <w:rPr>
          <w:rFonts w:ascii="Times New Roman;serif" w:hAnsi="Times New Roman;serif"/>
          <w:b w:val="false"/>
          <w:color w:val="000000"/>
          <w:sz w:val="17"/>
        </w:rPr>
        <w:t>Form 40-F</w:t>
      </w:r>
      <w:r>
        <w:rPr>
          <w:color w:val="000000"/>
        </w:rPr>
        <w:t xml:space="preserve">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832" w:type="dxa"/>
        <w:jc w:val="left"/>
        <w:tblInd w:w="0" w:type="dxa"/>
        <w:tblLayout w:type="fixed"/>
        <w:tblCellMar>
          <w:top w:w="28" w:type="dxa"/>
          <w:left w:w="28" w:type="dxa"/>
          <w:bottom w:w="28" w:type="dxa"/>
          <w:right w:w="28" w:type="dxa"/>
        </w:tblCellMar>
      </w:tblPr>
      <w:tblGrid>
        <w:gridCol w:w="591"/>
        <w:gridCol w:w="519"/>
        <w:gridCol w:w="524"/>
        <w:gridCol w:w="471"/>
        <w:gridCol w:w="471"/>
        <w:gridCol w:w="471"/>
        <w:gridCol w:w="520"/>
        <w:gridCol w:w="520"/>
        <w:gridCol w:w="74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May 14, 2026</w:t>
            </w:r>
          </w:p>
        </w:tc>
        <w:tc>
          <w:tcPr>
            <w:tcW w:w="31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Xanadu Quantum Technologies Limited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Trzupek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Trzupek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Index</w:t>
      </w:r>
    </w:p>
    <w:tbl>
      <w:tblPr>
        <w:tblW w:w="2859"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86"/>
        <w:gridCol w:w="286"/>
        <w:gridCol w:w="286"/>
        <w:gridCol w:w="286"/>
        <w:gridCol w:w="286"/>
        <w:gridCol w:w="41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Exhibit</w:t>
            </w:r>
          </w:p>
        </w:tc>
      </w:tr>
      <w:tr>
        <w:trPr/>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exhibit991pressrelease-may.htm">
              <w:r>
                <w:rPr>
                  <w:rStyle w:val="InternetLink"/>
                  <w:rFonts w:ascii="Times New Roman;serif" w:hAnsi="Times New Roman;serif"/>
                  <w:b w:val="false"/>
                  <w:color w:val="0000FF"/>
                  <w:sz w:val="20"/>
                  <w:u w:val="single"/>
                </w:rPr>
                <w:t xml:space="preserve">Q1'26 Press Release </w:t>
              </w:r>
            </w:hyperlink>
          </w:p>
        </w:tc>
      </w:tr>
      <w:tr>
        <w:trPr/>
        <w:tc>
          <w:tcPr>
            <w:tcW w:w="6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center"/>
        <w:rPr/>
      </w:pPr>
      <w:r>
        <w:rPr>
          <w:rFonts w:ascii="Times New Roman;serif" w:hAnsi="Times New Roman;serif"/>
          <w:b/>
          <w:color w:val="000000"/>
          <w:sz w:val="20"/>
        </w:rPr>
        <w:t>Xanadu Announces First Quarter 2026</w:t>
      </w:r>
      <w:r>
        <w:rPr>
          <w:color w:val="000000"/>
        </w:rPr>
        <w:t xml:space="preserve"> </w:t>
      </w:r>
      <w:r>
        <w:rPr>
          <w:rFonts w:ascii="Times New Roman;serif" w:hAnsi="Times New Roman;serif"/>
          <w:b/>
          <w:color w:val="000000"/>
          <w:sz w:val="20"/>
        </w:rPr>
        <w:t>Results</w:t>
      </w:r>
    </w:p>
    <w:p>
      <w:pPr>
        <w:pStyle w:val="TextBody"/>
        <w:bidi w:val="0"/>
        <w:spacing w:lineRule="auto" w:line="288" w:before="12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The Company is on a Mission to Build Quantum Computers That Are Useful and Available to People Everywhere </w:t>
      </w:r>
    </w:p>
    <w:p>
      <w:pPr>
        <w:pStyle w:val="TextBody"/>
        <w:bidi w:val="0"/>
        <w:spacing w:lineRule="auto" w:line="288" w:before="300" w:after="120"/>
        <w:jc w:val="both"/>
        <w:rPr/>
      </w:pPr>
      <w:r>
        <w:rPr>
          <w:rFonts w:ascii="Times New Roman;serif" w:hAnsi="Times New Roman;serif"/>
          <w:b/>
          <w:color w:val="000000"/>
          <w:sz w:val="20"/>
        </w:rPr>
        <w:t xml:space="preserve">Toronto, ON | May 14th, 2026 /CNW/ </w:t>
      </w:r>
      <w:r>
        <w:rPr>
          <w:rFonts w:ascii="Times New Roman;serif" w:hAnsi="Times New Roman;serif"/>
          <w:b w:val="false"/>
          <w:color w:val="000000"/>
          <w:sz w:val="20"/>
        </w:rPr>
        <w:t>-- Xanadu Quantum Technologies Ltd. (“Xanadu” or the “Company”; Nasdaq/TSX: XNDU), a leading photonic quantum computing company, today announced financial results for the first quarter ended March 31, 2026.</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I started Xanadu in 2016 with a whitepaper and a conviction that photonics was the right path to a scalable quantum computer. After a decade of research, peer-reviewed breakthroughs, and a public listing on Nasdaq and the TSX, I am more convinced of that than ever,” said Dr. Christian Weedbrook, Founder and Chief Executive Officer of Xanadu. “We believe harnessing photons gives us a distinct and viable path to building a quantum data center capable of solving some of the world's most complex challenges — and going public gives us the platform to help get there. We are not measuring success in quarters. We are measuring it in the breakthroughs that pave the road towards utility scale quantum computing."</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 xml:space="preserve">Our public listing marks an important milestone, and with it comes a new level of transparency into how we are building this company for the long term. We are in an investment phase — deliberately allocating capital toward the hardware, software, and talent required to realize the full potential of photonic quantum computing,” said Michael Trzupek, Chief Financial Officer of Xanadu. “The completion of our business combination with Crane Harbor Acquisition Corp. in conjunction with the anticipated support from the Canadian and Ontario governments, which are currently being negotiated, gives us runway to execute on our roadmap. Our decisions and investments are all made with one goal in mind: to build quantum computers that are useful and available to people everywhere.”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First Quarter Business Milestones and Announcements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Public listing: Xanadu became the first publicly listed pure-play photonic quantum computing company, completing its business combination with Crane Harbor Acquisition Corp. and listing on Nasdaq and the Toronto Stock Exchange under the ticker “XNDU”.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Government support negotiations: Entered discussions for up to roughly $285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($390 million CAD) in funding from the governments of Canada and Ontario to advance Project OPTIMISM and domestic quantum manufacturing capabilities. The proposed support remains subject to the completion of due diligence and the execution of final agreements.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Strategic collaborations and partnerships: Active relationships with AMD, Lockheed Martin, Mitsubishi Chemical, and TELUS, support the Company’s path to commercialization.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PennyLane momentum: Xanadu reported strong adoption of its open-source PennyLane platform, reaching over 35,000 active users and averaging 200,000 monthly downloads as of our Analyst Day.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Algorithm advancements: The Company advanced its hybrid quantum-classical algorithms through its new partnership with AMD, demonstrating 20-qubit, 35-million gate quantum computational fluid dynamics simulations that delivered 25x workflow acceleration versus traditional CPUs for aerospace and engineering applications.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Executive appointments: The Company announced the appointments of Michael Trzupek as Chief Financial Officer and Natalie Wilmore as Chief Legal Officer.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Inaugural Analyst Day: Xanadu hosted its first analyst day showcasing technical progress, roadmap updates, and a deeper view of commercialization strategy. </w:t>
      </w:r>
    </w:p>
    <w:p>
      <w:pPr>
        <w:pStyle w:val="TextBody"/>
        <w:bidi w:val="0"/>
        <w:spacing w:lineRule="auto" w:line="288" w:before="120" w:after="120"/>
        <w:jc w:val="both"/>
        <w:rPr/>
      </w:pPr>
      <w:r>
        <w:rPr>
          <w:rFonts w:ascii="Times New Roman;serif" w:hAnsi="Times New Roman;serif"/>
          <w:b/>
          <w:color w:val="000000"/>
          <w:sz w:val="20"/>
        </w:rPr>
        <w:t xml:space="preserve">First Quarter Financial Highlights </w:t>
      </w:r>
      <w:r>
        <w:rPr>
          <w:rFonts w:ascii="Times New Roman;serif" w:hAnsi="Times New Roman;serif"/>
          <w:b w:val="false"/>
          <w:color w:val="000000"/>
          <w:sz w:val="13"/>
        </w:rPr>
        <w:t>(1)</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Cash and cash equivalents were $272.5 million as of March 31, 2026</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Revenue increased 4x to $2.8 million, compared to $0.7 million in the first quarter of 2025</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Net loss was ($20.6) million, versus ($12.2) million in the prior year period</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loss increased ($3.2) million to ($13.9) million, compared to ($10.6) million in the prior year period </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0"/>
        </w:rPr>
        <w:t>Loss per share of ($0.28) increased compared to ($0.22) per share in the first quarter of 2025</w:t>
      </w:r>
    </w:p>
    <w:p>
      <w:pPr>
        <w:pStyle w:val="TextBody"/>
        <w:bidi w:val="0"/>
        <w:spacing w:lineRule="auto" w:line="321" w:before="0" w:after="16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All financial figures are presented in United States Dollars unless otherwise noted.</w:t>
      </w:r>
    </w:p>
    <w:p>
      <w:pPr>
        <w:pStyle w:val="TextBody"/>
        <w:bidi w:val="0"/>
        <w:spacing w:lineRule="auto" w:line="288" w:before="120" w:after="12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Adjusted EBITDA is a non-GAAP financial measure defined under “Non-GAAP Financial Measures,” below, and is reconciled to net loss, the closest comparable GAAP measures at the end of this release. Note: Components may not sum to totals due to rounding.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Anticipated Financing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anticipates establishing a $300 million synthetic ATM facility (the “Program”), which would give the Company the flexibility to issue Class B subordinate voting shares over time in private placements at its discretion, subject to applicable stock exchange approval in connection with the launch of the Program. The net proceeds are expected to be used to fund the continued development of our quantum computing technology roadmap.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be disciplined and strategic in our use of the Program, raising capital only when market conditions and valuation are supportive.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securities, nor is it a solicitation of an offer to buy securities, in any jurisdiction in which such offer or solicitation is unlawful.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Upcoming Investor Conferences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to participate in the following investor conferences: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CIBC Technology &amp; Innovation Conference 14.0 — May 21, 2026, Toronto, 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TD Cowen's 54th Annual TMT Conference — May 28, 2026, New York, NY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Stifel 2026 Boston Cross Sector 1x1 Conference — June 2-3, 2026, Boston, MA</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 live webcast of each presentation will be available on the Investor Relations section of the Company's website at investors.xanadu.ai. Replays will be accessible for 90 days following each event.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First Quarter 2026 Conference Call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Xanadu will host a conference call on Thursday, May 14, 2026, at 4:30 PM EDT to discuss the results and business outlook. The call will be available live on the Company’s website. The call will also be accessible by telephone at 1-888-349-0106 (USA/Canada toll-free) or 1-412-902-0131 (International). Participants must ask to be joined into the Xanadu Quantum Technologies Ltd. (Nasdaq/TSX: XNDU) call.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 telephone replay of the conference call will be available approximately 1 hour after it concludes at 1-855-669-9658 (USA/Canada toll-free) or 1-412-317-0088 (International) with access code 4363342 and will be available until 11:59 PM EDT, May 28th, 2026. Participants will be required to state their name and company upon entering the call. An archive of the webcast will also be available on the Company’s website.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About Xanadu</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Founded in 2016, Xanadu Quantum Technologies Ltd. is a Canadian photonic quantum computing company with the mission to build quantum computers that are useful and available to people everywhere. Xanadu is building fault-tolerant quantum computers using light, with systems designed to compute at room temperature. Backed by more than $500 million USD in funding, Xanadu develops both hardware and software, including Pennylane, its open-source quantum computing platform. Xanadu is the first pure-play photonic quantum computing company to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list on public markets (Nasdaq/TSX: XNDU) and is recognized globally for its breakthroughs in scalable quantum technologies. Visit </w:t>
      </w:r>
      <w:r>
        <w:rPr>
          <w:rFonts w:ascii="Times New Roman;serif" w:hAnsi="Times New Roman;serif"/>
          <w:b w:val="false"/>
          <w:color w:val="0000FF"/>
          <w:sz w:val="20"/>
          <w:u w:val="single"/>
        </w:rPr>
        <w:t>xanadu.ai</w:t>
      </w:r>
      <w:r>
        <w:rPr>
          <w:color w:val="000000"/>
        </w:rPr>
        <w:t> </w:t>
      </w:r>
      <w:r>
        <w:rPr>
          <w:rFonts w:ascii="Times New Roman;serif" w:hAnsi="Times New Roman;serif"/>
          <w:b w:val="false"/>
          <w:color w:val="000000"/>
          <w:sz w:val="20"/>
        </w:rPr>
        <w:t>or follow us on X </w:t>
      </w:r>
      <w:r>
        <w:rPr>
          <w:rFonts w:ascii="Times New Roman;serif" w:hAnsi="Times New Roman;serif"/>
          <w:b w:val="false"/>
          <w:color w:val="0000FF"/>
          <w:sz w:val="20"/>
          <w:u w:val="single"/>
        </w:rPr>
        <w:t>@XanaduAI</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Press Contact: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press@xanadu.ai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investors@xanadu.ai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consolidated financial statements which are prepared and presented in accordance with U.S. GAAP, we use Adjusted EBITDA, a non-GAAP financial measure, as described below, to evaluate our financial and operating performance.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before interest expense, income tax expense (benefit), depreciation and amortization expense, stock- 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a metric is used by other companies. The following tables provide unaudited reconciliations to net loss, the most directly comparable GAAP measure, to Adjusted EBITDA for the periods presented.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Xanadu’s mission; Xanadu’s path to building a quantum data center and related uses; the expected benefits of going public; uses of funds from the business combination with Crane Harbor Acquisition Corp.; the potential government funding, including the negotiation and execution of final agreements with the Governments of Canada and of Ontario, Xanadu’s ability to execute on its quantum computing technology roadmap, including the path towards utility-scale quantum computing, Xanadu’s planned investment in hardware, software, and talent to advance photonic quantum computing, the completion of due diligence and the amount and terms of such funding; expectations regarding the impact of strategic collaborations and partnerships, including with AMD, Lockheed Martin, Mitsubishi Chemical, and TELUS, on the Company’s path to commercialization; expectations regarding the equity line of credit, including the amount thereof, anticipated benefits and use of proceeds therefrom, and approach to use, and expectations regarding the Company's cash position and dilution profile; and investor conference participation.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Company's ability to maintain internal control over financial reporting and operate as a public company; the outcome of any legal proceedings or government investigations that may be commenced against Xanadu; failure to realize the anticipated benefits of the business combination with Crane Harbor Acquisition Corp.; the Company's ability to issue equity or equity-linked securities in the future; risks related to the equity line of credit, including the potential for substantial dilution to existing shareholders resulting from the issuance of Class B Subordinate Voting Shares thereunder, the risk that sales of such shares or the perception that such sales may occur, could cause the price of the Company's Class B Subordinate Voting Shares to decline; uncertainty regarding the proposed government funding from the Governments of Canada and Ontario, including the risk that due diligence may not be completed, that final agreements may not be executed, or that the amount or terms of any such funding may differ materially from those currently anticipated; and other factors described in the Company's filings with the U.S. Securities and Exchange Commission (the “SEC”) and the Canadian Securities Administrators (the “CSA”), which factors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Summary financial tables follow.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thousands, except for share amounts)</w:t>
      </w:r>
    </w:p>
    <w:tbl>
      <w:tblPr>
        <w:tblW w:w="10205" w:type="dxa"/>
        <w:jc w:val="left"/>
        <w:tblInd w:w="0" w:type="dxa"/>
        <w:tblLayout w:type="fixed"/>
        <w:tblCellMar>
          <w:top w:w="28" w:type="dxa"/>
          <w:left w:w="28" w:type="dxa"/>
          <w:bottom w:w="28" w:type="dxa"/>
          <w:right w:w="28" w:type="dxa"/>
        </w:tblCellMar>
      </w:tblPr>
      <w:tblGrid>
        <w:gridCol w:w="2880"/>
        <w:gridCol w:w="2213"/>
        <w:gridCol w:w="2232"/>
        <w:gridCol w:w="211"/>
        <w:gridCol w:w="841"/>
        <w:gridCol w:w="109"/>
        <w:gridCol w:w="109"/>
        <w:gridCol w:w="109"/>
        <w:gridCol w:w="109"/>
        <w:gridCol w:w="246"/>
        <w:gridCol w:w="964"/>
        <w:gridCol w:w="182"/>
      </w:tblGrid>
      <w:tr>
        <w:trPr/>
        <w:tc>
          <w:tcPr>
            <w:tcW w:w="288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231F20"/>
                <w:sz w:val="18"/>
              </w:rPr>
            </w:pPr>
            <w:r>
              <w:rPr>
                <w:rFonts w:ascii="Times New Roman;serif" w:hAnsi="Times New Roman;serif"/>
                <w:b/>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color w:val="231F20"/>
                <w:sz w:val="18"/>
              </w:rPr>
              <w:t xml:space="preserve">December 31, 2025 </w:t>
            </w:r>
            <w:r>
              <w:rPr>
                <w:rFonts w:ascii="Times New Roman;serif" w:hAnsi="Times New Roman;serif"/>
                <w:b/>
                <w:color w:val="231F20"/>
                <w:sz w:val="12"/>
              </w:rPr>
              <w:t>(1)</w:t>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231F20"/>
                <w:sz w:val="18"/>
              </w:rPr>
            </w:pPr>
            <w:r>
              <w:rPr>
                <w:rFonts w:ascii="Times New Roman;serif" w:hAnsi="Times New Roman;serif"/>
                <w:b w:val="false"/>
                <w:color w:val="231F2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color w:val="231F20"/>
                <w:sz w:val="18"/>
              </w:rPr>
            </w:pPr>
            <w:r>
              <w:rPr>
                <w:rFonts w:ascii="Times New Roman;serif" w:hAnsi="Times New Roman;serif"/>
                <w:b/>
                <w:color w:val="231F20"/>
                <w:sz w:val="18"/>
              </w:rPr>
              <w:t>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Current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272,465 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16,164 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88" w:before="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Accounts receivable,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9,477 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88" w:before="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Materials and supplies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8,344 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7" w:before="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Prepaid expenses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6,229 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current assets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290,417 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40,214 </w:t>
            </w:r>
          </w:p>
        </w:tc>
        <w:tc>
          <w:tcPr>
            <w:tcW w:w="182"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color w:val="231F20"/>
                <w:sz w:val="18"/>
              </w:rPr>
            </w:pPr>
            <w:r>
              <w:rPr>
                <w:rFonts w:ascii="Times New Roman;serif" w:hAnsi="Times New Roman;serif"/>
                <w:b w:val="false"/>
                <w:color w:val="231F20"/>
                <w:sz w:val="18"/>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18,313 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color w:val="231F20"/>
                <w:sz w:val="18"/>
              </w:rPr>
            </w:pPr>
            <w:r>
              <w:rPr>
                <w:rFonts w:ascii="Times New Roman;serif" w:hAnsi="Times New Roman;serif"/>
                <w:b w:val="false"/>
                <w:color w:val="231F20"/>
                <w:sz w:val="18"/>
              </w:rPr>
              <w:t xml:space="preserve">Operating right-of-use assets,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6,949 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7" w:before="9" w:after="283"/>
              <w:jc w:val="left"/>
              <w:rPr>
                <w:rFonts w:ascii="Times New Roman;serif" w:hAnsi="Times New Roman;serif"/>
                <w:b w:val="false"/>
                <w:color w:val="231F20"/>
                <w:sz w:val="18"/>
              </w:rPr>
            </w:pPr>
            <w:r>
              <w:rPr>
                <w:rFonts w:ascii="Times New Roman;serif" w:hAnsi="Times New Roman;serif"/>
                <w:b w:val="false"/>
                <w:color w:val="231F20"/>
                <w:sz w:val="18"/>
              </w:rPr>
              <w:t>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5,128 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7" w:before="13" w:after="283"/>
              <w:jc w:val="left"/>
              <w:rPr>
                <w:rFonts w:ascii="Times New Roman;serif" w:hAnsi="Times New Roman;serif"/>
                <w:b/>
                <w:color w:val="231F20"/>
                <w:sz w:val="18"/>
              </w:rPr>
            </w:pPr>
            <w:r>
              <w:rPr>
                <w:rFonts w:ascii="Times New Roman;serif" w:hAnsi="Times New Roman;serif"/>
                <w:b/>
                <w:color w:val="231F20"/>
                <w:sz w:val="18"/>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18"/>
              </w:rPr>
              <w:t>319,040</w:t>
            </w: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964"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18"/>
              </w:rPr>
              <w:t>70,604</w:t>
            </w:r>
            <w:r>
              <w:rPr>
                <w:color w:val="231F20"/>
              </w:rPr>
              <w:t> </w:t>
            </w:r>
          </w:p>
        </w:tc>
        <w:tc>
          <w:tcPr>
            <w:tcW w:w="182"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color w:val="231F20"/>
                <w:sz w:val="18"/>
              </w:rPr>
            </w:pPr>
            <w:r>
              <w:rPr>
                <w:rFonts w:ascii="Times New Roman;serif" w:hAnsi="Times New Roman;serif"/>
                <w:b/>
                <w:color w:val="231F20"/>
                <w:sz w:val="18"/>
              </w:rPr>
              <w:t>Liabilities and Shareholders’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18"/>
              </w:rPr>
            </w:pPr>
            <w:r>
              <w:rPr>
                <w:rFonts w:ascii="Times New Roman;serif" w:hAnsi="Times New Roman;serif"/>
                <w:b w:val="false"/>
                <w:color w:val="231F20"/>
                <w:sz w:val="18"/>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Accounts payable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2,802 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Accrued expenses and other current liabilities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2,191 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544 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grant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492 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Short-term operating lease liabilities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1,074 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20"/>
              </w:rPr>
            </w:pPr>
            <w:r>
              <w:rPr>
                <w:rFonts w:ascii="Times New Roman;serif" w:hAnsi="Times New Roman;serif"/>
                <w:b w:val="false"/>
                <w:color w:val="231F20"/>
                <w:sz w:val="20"/>
              </w:rPr>
              <w:t>Earn-out share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Warrant liabilities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1,874 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current liabilities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8,977 </w:t>
            </w:r>
          </w:p>
        </w:tc>
        <w:tc>
          <w:tcPr>
            <w:tcW w:w="182" w:type="dxa"/>
            <w:tcBorders>
              <w:top w:val="single" w:sz="4"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Long-term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7,185 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color w:val="231F20"/>
                <w:sz w:val="18"/>
              </w:rPr>
            </w:pPr>
            <w:r>
              <w:rPr>
                <w:rFonts w:ascii="Times New Roman;serif" w:hAnsi="Times New Roman;serif"/>
                <w:b w:val="false"/>
                <w:color w:val="231F20"/>
                <w:sz w:val="18"/>
              </w:rPr>
              <w:t xml:space="preserve">Long-term debt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30,033 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29,998 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color w:val="231F20"/>
                <w:sz w:val="18"/>
              </w:rPr>
            </w:pPr>
            <w:r>
              <w:rPr>
                <w:rFonts w:ascii="Times New Roman;serif" w:hAnsi="Times New Roman;serif"/>
                <w:b/>
                <w:color w:val="231F20"/>
                <w:sz w:val="18"/>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18"/>
              </w:rPr>
              <w:t>57,063</w:t>
            </w: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964" w:type="dxa"/>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18"/>
              </w:rPr>
              <w:t>46,160</w:t>
            </w:r>
            <w:r>
              <w:rPr>
                <w:color w:val="231F20"/>
              </w:rPr>
              <w:t> </w:t>
            </w:r>
          </w:p>
        </w:tc>
        <w:tc>
          <w:tcPr>
            <w:tcW w:w="182"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8"/>
              </w:rPr>
              <w:t xml:space="preserve">Old Xanadu convertible preferred shares, no par value, 204,286,254 shares authorized, 199,930,069 issued and outstanding at December 31, 2025 </w:t>
            </w:r>
            <w:r>
              <w:rPr>
                <w:rFonts w:ascii="Times New Roman;serif" w:hAnsi="Times New Roman;serif"/>
                <w:b w:val="false"/>
                <w:color w:val="231F2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213,002 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Times New Roman;serif" w:hAnsi="Times New Roman;serif"/>
                <w:b w:val="false"/>
                <w:color w:val="231F20"/>
                <w:sz w:val="18"/>
              </w:rPr>
              <w:t xml:space="preserve">Old Xanadu common shares, no par value, 336,123,821 shares authorized, 55,964,876 shares issued and outstanding at December 31, 2025 </w:t>
            </w:r>
            <w:r>
              <w:rPr>
                <w:rFonts w:ascii="Times New Roman;serif" w:hAnsi="Times New Roman;serif"/>
                <w:b w:val="false"/>
                <w:color w:val="231F20"/>
                <w:sz w:val="12"/>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7,585 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66" w:before="17"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Common shares, unlimited Xanadu Class A Multiple Voting Shares authorized, no par value, 255,226,928 issued and outstanding; unlimited Xanadu Class B Subordinate Voting Shares authorized, no par value, 43,284,436 shares issued and outstanding at March 31, 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478,174 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Additional paid-in capital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12,325 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10,151 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(228,314)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(206,303)</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Accumulated other comprehensive income (loss)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20"/>
              </w:rPr>
            </w:pPr>
            <w:r>
              <w:rPr>
                <w:rFonts w:ascii="Times New Roman;serif" w:hAnsi="Times New Roman;serif"/>
                <w:b w:val="false"/>
                <w:color w:val="231F2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lineRule="atLeast" w:line="222" w:before="18" w:after="283"/>
              <w:jc w:val="left"/>
              <w:rPr>
                <w:rFonts w:ascii="Times New Roman;serif" w:hAnsi="Times New Roman;serif"/>
                <w:b/>
                <w:color w:val="231F20"/>
                <w:sz w:val="18"/>
              </w:rPr>
            </w:pPr>
            <w:r>
              <w:rPr>
                <w:rFonts w:ascii="Times New Roman;serif" w:hAnsi="Times New Roman;serif"/>
                <w:b/>
                <w:color w:val="231F20"/>
                <w:sz w:val="18"/>
              </w:rPr>
              <w:t xml:space="preserve">Total shareholders’ equity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20"/>
              </w:rPr>
            </w:pPr>
            <w:r>
              <w:rPr>
                <w:rFonts w:ascii="Times New Roman;serif" w:hAnsi="Times New Roman;serif"/>
                <w:b/>
                <w:color w:val="231F2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20"/>
              </w:rPr>
              <w:t>261,977</w:t>
            </w:r>
            <w:r>
              <w:rPr>
                <w:color w:val="231F2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20"/>
              </w:rPr>
            </w:pPr>
            <w:r>
              <w:rPr>
                <w:rFonts w:ascii="Times New Roman;serif" w:hAnsi="Times New Roman;serif"/>
                <w:b/>
                <w:color w:val="231F20"/>
                <w:sz w:val="20"/>
              </w:rPr>
              <w:t>$</w:t>
            </w:r>
          </w:p>
        </w:tc>
        <w:tc>
          <w:tcPr>
            <w:tcW w:w="964"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20"/>
              </w:rPr>
              <w:t>24,444</w:t>
            </w:r>
            <w:r>
              <w:rPr>
                <w:color w:val="231F20"/>
              </w:rPr>
              <w:t> </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color w:val="231F20"/>
                <w:sz w:val="18"/>
              </w:rPr>
            </w:pPr>
            <w:r>
              <w:rPr>
                <w:rFonts w:ascii="Times New Roman;serif" w:hAnsi="Times New Roman;serif"/>
                <w:b/>
                <w:color w:val="231F20"/>
                <w:sz w:val="18"/>
              </w:rPr>
              <w:t xml:space="preserve">Total liabilities and shareholders’ equity </w:t>
            </w:r>
          </w:p>
        </w:tc>
        <w:tc>
          <w:tcPr>
            <w:tcW w:w="21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231F20"/>
                <w:sz w:val="20"/>
              </w:rPr>
            </w:pPr>
            <w:r>
              <w:rPr>
                <w:rFonts w:ascii="Times New Roman;serif" w:hAnsi="Times New Roman;serif"/>
                <w:b/>
                <w:color w:val="231F20"/>
                <w:sz w:val="20"/>
              </w:rPr>
              <w:t>$</w:t>
            </w:r>
          </w:p>
        </w:tc>
        <w:tc>
          <w:tcPr>
            <w:tcW w:w="84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20"/>
              </w:rPr>
              <w:t>319,040</w:t>
            </w:r>
            <w:r>
              <w:rPr>
                <w:color w:val="231F20"/>
              </w:rPr>
              <w:t> </w:t>
            </w:r>
          </w:p>
        </w:tc>
        <w:tc>
          <w:tcPr>
            <w:tcW w:w="10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231F20"/>
                <w:sz w:val="20"/>
              </w:rPr>
            </w:pPr>
            <w:r>
              <w:rPr>
                <w:rFonts w:ascii="Times New Roman;serif" w:hAnsi="Times New Roman;serif"/>
                <w:b/>
                <w:color w:val="231F20"/>
                <w:sz w:val="20"/>
              </w:rPr>
              <w:t>$</w:t>
            </w:r>
          </w:p>
        </w:tc>
        <w:tc>
          <w:tcPr>
            <w:tcW w:w="96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pPr>
            <w:r>
              <w:rPr>
                <w:rFonts w:ascii="Times New Roman;serif" w:hAnsi="Times New Roman;serif"/>
                <w:b/>
                <w:color w:val="231F20"/>
                <w:sz w:val="20"/>
              </w:rPr>
              <w:t>70,604</w:t>
            </w:r>
            <w:r>
              <w:rPr>
                <w:color w:val="231F20"/>
              </w:rPr>
              <w:t> </w:t>
            </w:r>
          </w:p>
        </w:tc>
        <w:tc>
          <w:tcPr>
            <w:tcW w:w="18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160"/>
        <w:jc w:val="left"/>
        <w:rPr/>
      </w:pPr>
      <w:r>
        <w:rPr>
          <w:rFonts w:ascii="Times New Roman;serif" w:hAnsi="Times New Roman;serif"/>
          <w:b w:val="false"/>
          <w:color w:val="000000"/>
          <w:sz w:val="12"/>
        </w:rPr>
        <w:t xml:space="preserve">(1) </w:t>
      </w:r>
      <w:r>
        <w:rPr>
          <w:rFonts w:ascii="Times New Roman;serif" w:hAnsi="Times New Roman;serif"/>
          <w:b w:val="false"/>
          <w:color w:val="231F20"/>
          <w:sz w:val="18"/>
        </w:rPr>
        <w:t xml:space="preserve">Old Xanadu convertible preferred shares and common shares have been retroactively recast after giving effect to the </w:t>
      </w:r>
      <w:r>
        <w:rPr>
          <w:rFonts w:ascii="Times New Roman;serif" w:hAnsi="Times New Roman;serif"/>
          <w:b w:val="false"/>
          <w:color w:val="000000"/>
          <w:sz w:val="18"/>
        </w:rPr>
        <w:t>Reverse Recapitalization</w:t>
      </w:r>
      <w:r>
        <w:rPr>
          <w:rFonts w:ascii="Times New Roman;serif" w:hAnsi="Times New Roman;serif"/>
          <w:b w:val="false"/>
          <w:color w:val="231F20"/>
          <w:sz w:val="18"/>
        </w:rPr>
        <w:t xml:space="preserve">. Refer to the Company's 6-K Q1 2026 Quarterly Report filed on May 14, 2026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 (Unaudited)</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thousands, except for share and per share amounts)</w:t>
      </w:r>
    </w:p>
    <w:tbl>
      <w:tblPr>
        <w:tblW w:w="7284" w:type="dxa"/>
        <w:jc w:val="left"/>
        <w:tblInd w:w="0" w:type="dxa"/>
        <w:tblLayout w:type="fixed"/>
        <w:tblCellMar>
          <w:top w:w="28" w:type="dxa"/>
          <w:left w:w="28" w:type="dxa"/>
          <w:bottom w:w="28" w:type="dxa"/>
          <w:right w:w="28" w:type="dxa"/>
        </w:tblCellMar>
      </w:tblPr>
      <w:tblGrid>
        <w:gridCol w:w="1760"/>
        <w:gridCol w:w="1542"/>
        <w:gridCol w:w="1558"/>
        <w:gridCol w:w="196"/>
        <w:gridCol w:w="721"/>
        <w:gridCol w:w="109"/>
        <w:gridCol w:w="109"/>
        <w:gridCol w:w="109"/>
        <w:gridCol w:w="109"/>
        <w:gridCol w:w="196"/>
        <w:gridCol w:w="721"/>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Three Months Ended</w:t>
              <w:br/>
              <w:t xml:space="preserve">March 31, </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color w:val="231F20"/>
                <w:sz w:val="18"/>
              </w:rPr>
            </w:pPr>
            <w:r>
              <w:rPr>
                <w:rFonts w:ascii="Times New Roman;serif" w:hAnsi="Times New Roman;serif"/>
                <w:b/>
                <w:color w:val="231F2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8"/>
              </w:rPr>
              <w:t>2,832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pPr>
            <w:r>
              <w:rPr>
                <w:rFonts w:ascii="Times New Roman;serif" w:hAnsi="Times New Roman;serif"/>
                <w:b/>
                <w:color w:val="000000"/>
                <w:sz w:val="18"/>
              </w:rPr>
              <w:t>699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tLeast" w:line="210" w:before="8"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Cost of revenue (exclusive of depreciation and amortization below)</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Research and development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General and administrative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Sales and marketing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Depreciation and amortization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Other operating income, net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 xml:space="preserve">Total operating expenses </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13,464 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231F20"/>
                <w:sz w:val="18"/>
              </w:rPr>
            </w:pPr>
            <w:r>
              <w:rPr>
                <w:rFonts w:ascii="Times New Roman;serif" w:hAnsi="Times New Roman;serif"/>
                <w:b/>
                <w:color w:val="231F20"/>
                <w:sz w:val="18"/>
              </w:rPr>
              <w:t>Loss from operations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231F20"/>
                <w:sz w:val="18"/>
              </w:rPr>
            </w:pPr>
            <w:r>
              <w:rPr>
                <w:rFonts w:ascii="Times New Roman;serif" w:hAnsi="Times New Roman;serif"/>
                <w:b/>
                <w:color w:val="231F20"/>
                <w:sz w:val="18"/>
              </w:rPr>
              <w:t>(12,765)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Interest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Gain on fair value of earn out share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color w:val="231F20"/>
                <w:sz w:val="18"/>
              </w:rPr>
            </w:pPr>
            <w:r>
              <w:rPr>
                <w:rFonts w:ascii="Times New Roman;serif" w:hAnsi="Times New Roman;serif"/>
                <w:b w:val="false"/>
                <w:color w:val="231F20"/>
                <w:sz w:val="18"/>
              </w:rPr>
              <w:t xml:space="preserve">Other income, net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Total other income,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color w:val="231F20"/>
                <w:sz w:val="18"/>
              </w:rPr>
            </w:pPr>
            <w:r>
              <w:rPr>
                <w:rFonts w:ascii="Times New Roman;serif" w:hAnsi="Times New Roman;serif"/>
                <w:b/>
                <w:color w:val="231F20"/>
                <w:sz w:val="18"/>
              </w:rPr>
              <w:t xml:space="preserve">Net loss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(12,205)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pPr>
            <w:r>
              <w:rPr>
                <w:rFonts w:ascii="Times New Roman;serif" w:hAnsi="Times New Roman;serif"/>
                <w:b w:val="false"/>
                <w:color w:val="231F20"/>
                <w:sz w:val="18"/>
              </w:rPr>
              <w:t xml:space="preserve">Net loss per share, basic and diluted </w:t>
            </w:r>
            <w:r>
              <w:rPr>
                <w:rFonts w:ascii="Times New Roman;serif" w:hAnsi="Times New Roman;serif"/>
                <w:b w:val="false"/>
                <w:color w:val="231F2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66" w:before="17" w:after="283"/>
              <w:ind w:left="0" w:right="0" w:hanging="200"/>
              <w:jc w:val="left"/>
              <w:rPr/>
            </w:pPr>
            <w:r>
              <w:rPr>
                <w:rFonts w:ascii="Times New Roman;serif" w:hAnsi="Times New Roman;serif"/>
                <w:b w:val="false"/>
                <w:color w:val="231F20"/>
                <w:sz w:val="18"/>
              </w:rPr>
              <w:t>Weighted average shares outstanding</w:t>
            </w:r>
            <w:r>
              <w:rPr>
                <w:color w:val="231F20"/>
              </w:rPr>
              <w:t xml:space="preserve"> </w:t>
            </w:r>
            <w:r>
              <w:rPr>
                <w:rFonts w:ascii="Times New Roman;serif" w:hAnsi="Times New Roman;serif"/>
                <w:b w:val="false"/>
                <w:color w:val="231F20"/>
                <w:sz w:val="12"/>
              </w:rPr>
              <w:t>(1)</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72,458,652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18"/>
              </w:rPr>
            </w:pPr>
            <w:r>
              <w:rPr>
                <w:rFonts w:ascii="Times New Roman;serif" w:hAnsi="Times New Roman;serif"/>
                <w:b w:val="false"/>
                <w:color w:val="231F20"/>
                <w:sz w:val="18"/>
              </w:rPr>
              <w:t>55,649,457</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jc w:val="left"/>
              <w:rPr>
                <w:rFonts w:ascii="Times New Roman;serif" w:hAnsi="Times New Roman;serif"/>
                <w:b w:val="false"/>
                <w:color w:val="231F20"/>
                <w:sz w:val="18"/>
              </w:rPr>
            </w:pPr>
            <w:r>
              <w:rPr>
                <w:rFonts w:ascii="Times New Roman;serif" w:hAnsi="Times New Roman;serif"/>
                <w:b w:val="false"/>
                <w:color w:val="231F2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231F20"/>
                <w:sz w:val="18"/>
              </w:rPr>
            </w:pPr>
            <w:r>
              <w:rPr>
                <w:rFonts w:ascii="Times New Roman;serif" w:hAnsi="Times New Roman;serif"/>
                <w:b w:val="false"/>
                <w:color w:val="231F20"/>
                <w:sz w:val="18"/>
              </w:rPr>
              <w:t>(12,205)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231F20"/>
                <w:sz w:val="18"/>
              </w:rPr>
            </w:pPr>
            <w:r>
              <w:rPr>
                <w:rFonts w:ascii="Times New Roman;serif" w:hAnsi="Times New Roman;serif"/>
                <w:b w:val="false"/>
                <w:color w:val="231F20"/>
                <w:sz w:val="18"/>
              </w:rPr>
              <w:t>Cumulative translation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tLeast" w:line="210" w:before="29" w:after="283"/>
              <w:jc w:val="left"/>
              <w:rPr>
                <w:rFonts w:ascii="Times New Roman;serif" w:hAnsi="Times New Roman;serif"/>
                <w:b/>
                <w:color w:val="231F20"/>
                <w:sz w:val="18"/>
              </w:rPr>
            </w:pPr>
            <w:r>
              <w:rPr>
                <w:rFonts w:ascii="Times New Roman;serif" w:hAnsi="Times New Roman;serif"/>
                <w:b/>
                <w:color w:val="231F20"/>
                <w:sz w:val="18"/>
              </w:rPr>
              <w:t>Net 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231F20"/>
                <w:sz w:val="18"/>
              </w:rPr>
            </w:pPr>
            <w:r>
              <w:rPr>
                <w:rFonts w:ascii="Times New Roman;serif" w:hAnsi="Times New Roman;serif"/>
                <w:b/>
                <w:color w:val="231F20"/>
                <w:sz w:val="18"/>
              </w:rPr>
              <w:t>(12,142)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16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Net loss per share and weighted average shares outstanding have been retroactively recast after giving effect to the Reverse Recapitalization. Refer to the Company's 6-K Q1 2026 Quarterly Report filed on May 14, 2026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XANADU QUANTUM TECHNOLOGIES LIMITED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i/>
          <w:color w:val="000000"/>
          <w:sz w:val="18"/>
        </w:rPr>
      </w:pPr>
      <w:r>
        <w:rPr>
          <w:rFonts w:ascii="Times New Roman;serif" w:hAnsi="Times New Roman;serif"/>
          <w:b/>
          <w:i/>
          <w:color w:val="000000"/>
          <w:sz w:val="18"/>
        </w:rPr>
        <w:t>Reconciliation of Non-GAAP Financial Measure Adjusted EBITDA:</w:t>
      </w:r>
    </w:p>
    <w:tbl>
      <w:tblPr>
        <w:tblW w:w="6211" w:type="dxa"/>
        <w:jc w:val="center"/>
        <w:tblInd w:w="0" w:type="dxa"/>
        <w:tblLayout w:type="fixed"/>
        <w:tblCellMar>
          <w:top w:w="28" w:type="dxa"/>
          <w:left w:w="28" w:type="dxa"/>
          <w:bottom w:w="28" w:type="dxa"/>
          <w:right w:w="28" w:type="dxa"/>
        </w:tblCellMar>
      </w:tblPr>
      <w:tblGrid>
        <w:gridCol w:w="1312"/>
        <w:gridCol w:w="1152"/>
        <w:gridCol w:w="1166"/>
        <w:gridCol w:w="196"/>
        <w:gridCol w:w="721"/>
        <w:gridCol w:w="109"/>
        <w:gridCol w:w="109"/>
        <w:gridCol w:w="109"/>
        <w:gridCol w:w="109"/>
        <w:gridCol w:w="196"/>
        <w:gridCol w:w="721"/>
        <w:gridCol w:w="311"/>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Three Months Ended</w:t>
              <w:br/>
              <w:t xml:space="preserve">March 31, </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(12,205)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Excluding:</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pPr>
            <w:r>
              <w:rPr>
                <w:rFonts w:ascii="Times New Roman;serif" w:hAnsi="Times New Roman;serif"/>
                <w:b w:val="false"/>
                <w:color w:val="000000"/>
                <w:sz w:val="18"/>
              </w:rPr>
              <w:t xml:space="preserve">Change in fair value of financial instruments </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pPr>
            <w:r>
              <w:rPr>
                <w:rFonts w:ascii="Times New Roman;serif" w:hAnsi="Times New Roman;serif"/>
                <w:b w:val="false"/>
                <w:color w:val="000000"/>
                <w:sz w:val="18"/>
              </w:rPr>
              <w:t xml:space="preserve">Other (income), net </w:t>
            </w:r>
            <w:r>
              <w:rPr>
                <w:rFonts w:ascii="Times New Roman;serif" w:hAnsi="Times New Roman;serif"/>
                <w:b w:val="false"/>
                <w:color w:val="000000"/>
                <w:sz w:val="12"/>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firstLine="180"/>
              <w:jc w:val="left"/>
              <w:rPr/>
            </w:pPr>
            <w:r>
              <w:rPr>
                <w:rFonts w:ascii="Times New Roman;serif" w:hAnsi="Times New Roman;serif"/>
                <w:b w:val="false"/>
                <w:color w:val="000000"/>
                <w:sz w:val="18"/>
              </w:rPr>
              <w:t>Non-recurring expenses</w:t>
            </w:r>
            <w:r>
              <w:rPr>
                <w:color w:val="000000"/>
              </w:rPr>
              <w:t xml:space="preserve"> </w:t>
            </w:r>
            <w:r>
              <w:rPr>
                <w:rFonts w:ascii="Times New Roman;serif" w:hAnsi="Times New Roman;serif"/>
                <w:b w:val="false"/>
                <w:color w:val="000000"/>
                <w:sz w:val="12"/>
              </w:rPr>
              <w:t>(3)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(13,882)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color w:val="000000"/>
                <w:sz w:val="18"/>
              </w:rPr>
            </w:pPr>
            <w:r>
              <w:rPr>
                <w:rFonts w:ascii="Times New Roman;serif" w:hAnsi="Times New Roman;serif"/>
                <w:b/>
                <w:color w:val="000000"/>
                <w:sz w:val="18"/>
              </w:rPr>
              <w:t>(10,643)</w:t>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ptos;sans-serif" w:hAnsi="Aptos;sans-serif"/>
          <w:b w:val="false"/>
          <w:color w:val="000000"/>
          <w:sz w:val="24"/>
        </w:rPr>
      </w:pPr>
      <w:r>
        <w:rPr>
          <w:rFonts w:ascii="Aptos;sans-serif" w:hAnsi="Aptos;sans-serif"/>
          <w:b w:val="false"/>
          <w:color w:val="000000"/>
          <w:sz w:val="24"/>
        </w:rPr>
        <w:t>__________</w:t>
      </w:r>
    </w:p>
    <w:p>
      <w:pPr>
        <w:pStyle w:val="TextBody"/>
        <w:bidi w:val="0"/>
        <w:spacing w:lineRule="auto" w:line="321" w:before="0" w:after="16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Other income, net consists of foreign exchange gain (loss).</w:t>
      </w:r>
    </w:p>
    <w:p>
      <w:pPr>
        <w:pStyle w:val="TextBody"/>
        <w:bidi w:val="0"/>
        <w:spacing w:lineRule="auto" w:line="321" w:before="0" w:after="16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the gain (loss) on the fair value of the warrant and earn-out share liabilities.</w:t>
      </w:r>
    </w:p>
    <w:p>
      <w:pPr>
        <w:pStyle w:val="TextBody"/>
        <w:bidi w:val="0"/>
        <w:spacing w:lineRule="auto" w:line="321" w:before="0" w:after="16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Non-recurring expenses include professional fees such as legal, consulting, and accounting fees incurred in connection with indirect costs related to the Reverse Recapitalization and public offerings.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3136</Words>
  <Characters>18493</Characters>
  <CharactersWithSpaces>21467</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