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Xanadu Quantum Technologies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Subordinate Voting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82,694.00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82,694.00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82,694.00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82,694.00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82,694.00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82,694.00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82,694.00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82,694.00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Xanadu Quantum Technologies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559"/>
        <w:spacing w:after="0"/>
        <w:rPr>
          <w:sz w:val="20"/>
          <w:szCs w:val="20"/>
          <w:color w:val="auto"/>
        </w:rPr>
      </w:pPr>
      <w:r>
        <w:rPr>
          <w:rFonts w:ascii="Times New Roman" w:cs="Times New Roman" w:eastAsia="Times New Roman" w:hAnsi="Times New Roman"/>
          <w:sz w:val="22"/>
          <w:szCs w:val="22"/>
          <w:color w:val="auto"/>
        </w:rPr>
        <w:t>777 Bay Street, Suite 2400, Toronto, Ontario, M5G 2C8, Canada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84" w:lineRule="exact"/>
        <w:rPr>
          <w:sz w:val="20"/>
          <w:szCs w:val="20"/>
          <w:color w:val="auto"/>
        </w:rPr>
      </w:pPr>
    </w:p>
    <w:p>
      <w:pPr>
        <w:ind w:left="920" w:right="2460"/>
        <w:spacing w:after="0" w:line="310"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0"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923" w:orient="portrait"/>
          <w:cols w:equalWidth="0" w:num="1">
            <w:col w:w="11120"/>
          </w:cols>
          <w:pgMar w:left="360" w:top="112" w:right="41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B Subordinate Voting Shares, without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 to Item 9 on each cover page. After acquiring beneficial ownership of more than 5% of the outstanding Class B Subordinate Voting Shares on June 17, 2026, the reporting persons ceased to be beneficial owners of more than 5% of the outstanding Class B Subordinate Voting Shares by the date of this filing.</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923" w:orient="portrait"/>
          <w:cols w:equalWidth="0" w:num="1">
            <w:col w:w="11120"/>
          </w:cols>
          <w:pgMar w:left="360" w:top="112"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24, 2026, by and among Millennium Management LLC, Millennium Group Management LLC and Israel A. Englander.</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B Subordinate Voting Shares, without par value, of Xanadu Quantum Technologies Limited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2026</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6403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640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854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2026-06-25T18:09:30Z</dcterms:created>
  <dcterms:modified xsi:type="dcterms:W3CDTF">2026-06-25T18:09:30Z</dcterms:modified>
</cp:coreProperties>
</file>