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30379702-424b3_xanadu.htm"/>
      <w:bookmarkStart w:id="1" w:name="ksea030379702424b3_xanadu"/>
      <w:bookmarkEnd w:id="0"/>
      <w:bookmarkEnd w:id="1"/>
      <w:r>
        <w:rPr>
          <w:rFonts w:ascii="Times New Roman;Times;Serif" w:hAnsi="Times New Roman;Times;Serif"/>
          <w:b/>
          <w:i w:val="false"/>
          <w:caps w:val="false"/>
          <w:smallCaps w:val="false"/>
          <w:sz w:val="20"/>
        </w:rPr>
        <w:t>Filed Pursuant to Rule 424(b)(3)</w:t>
        <w:br/>
        <w:t>Registration No. 333-295256</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 NO. 4 TO</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OF XANADU QUANTUM TECHNOLOGIES LIMITED</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May 1, 2026, as supplemented or amended from time to time (the “Prospectus”), which forms a part of our Registration Statement on Form F-1 (Registration Statement No. 333-295256). This prospectus supplement is being filed to update and supplement the information included or incorporated by reference in the Prospectus with the information contained in our Report on Form 6-K, which was furnished to the Securities and Exchange Commission on August 28, 2026 (the “Form 6-K”). Accordingly, we have attached the Form 6-K to this prospectus supplement.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the Toronto Stock Exchange (the “TSX”) under the symbol “XNDU.” On August 27, 2026, the last reported sales prices of the Class B Subordinate Voting Shares on Nasdaq and the TSX were $10.38 and C$14.39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 of the Annual Report and beginning on page 6 of the Prospectus, and under similar headings in any amendments or supplements to the Prospectus.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4 is dated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Suite 2400, Toronto, Ontario M5G 2C8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including Exhibit 10.1, is incorporated by reference into the registrant's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333-296231) (including any prospectuses forming a part of such registration statements) filed with the U.S. Securities and Exchange Commission, to be a part thereof from the date on which this Report on Form 6-K is submitted, to the extent not superseded by documents or reports subsequently filed or furnished.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44" w:type="dxa"/>
        <w:jc w:val="left"/>
        <w:tblInd w:w="0" w:type="dxa"/>
        <w:tblLayout w:type="fixed"/>
        <w:tblCellMar>
          <w:top w:w="0" w:type="dxa"/>
          <w:left w:w="0" w:type="dxa"/>
          <w:bottom w:w="0" w:type="dxa"/>
          <w:right w:w="0" w:type="dxa"/>
        </w:tblCellMar>
      </w:tblPr>
      <w:tblGrid>
        <w:gridCol w:w="2315"/>
        <w:gridCol w:w="582"/>
        <w:gridCol w:w="3547"/>
      </w:tblGrid>
      <w:tr>
        <w:trPr/>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August 28, 2026</w:t>
            </w:r>
          </w:p>
        </w:tc>
        <w:tc>
          <w:tcPr>
            <w:tcW w:w="412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Xanadu Quantum Technologies Limited</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54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a_001">
              <w:r>
                <w:rPr>
                  <w:rStyle w:val="InternetLink"/>
                  <w:sz w:val="20"/>
                </w:rPr>
                <w:t xml:space="preserve">Agreement, dated August 28, 2026, between His Majesty the King in Right of Canada, as represented by the Minister of Industry, Xanadu Quantum Technologies Inc. and Xanadu Quantum Technologies Limited, as guarantor </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a_002">
              <w:r>
                <w:rPr>
                  <w:rStyle w:val="InternetLink"/>
                  <w:sz w:val="20"/>
                </w:rPr>
                <w:t>Press release dated August 28, 2026 – Government of Canada Invests CAD $195 Million in Xanadu to Build the Quantum Supply Chain</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a_003">
              <w:r>
                <w:rPr>
                  <w:rStyle w:val="InternetLink"/>
                  <w:sz w:val="20"/>
                </w:rPr>
                <w:t>Press release dated August 28, 2026 – Xanadu Secures CAD $195 Million and Establishes Landmark Advanced Photonics Facility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a_001"/>
      <w:bookmarkEnd w:id="2"/>
      <w:r>
        <w:rPr>
          <w:rFonts w:ascii="Times New Roman;Times;Serif" w:hAnsi="Times New Roman;Times;Serif"/>
          <w:b/>
          <w:sz w:val="20"/>
        </w:rPr>
        <w:t>Exhibit 10.1</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jc w:val="center"/>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Certain identified information has been excluded from this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both because it (i) is not material and (ii) is the type</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that the issuer treats as private or confidential. Brackets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with triple asterisks denote omissions.</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STRATEGIC RESPONSE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Optimism</w:t>
      </w:r>
    </w:p>
    <w:p>
      <w:pPr>
        <w:pStyle w:val="TextBody"/>
        <w:bidi w:val="0"/>
        <w:spacing w:before="0" w:after="0"/>
        <w:ind w:left="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895"/>
        <w:gridCol w:w="5525"/>
      </w:tblGrid>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This Agreement made</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Between:</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HIS MAJESTY THE KING IN RIGHT OF CANADA</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His Majesty</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represented by the Minister of Industry</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Minister</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Inc.</w:t>
            </w:r>
            <w:r>
              <w:rPr>
                <w:rFonts w:ascii="Times New Roman;Times;Serif" w:hAnsi="Times New Roman;Times;Serif"/>
                <w:sz w:val="20"/>
              </w:rPr>
              <w:t>, a corporation duly</w:t>
              <w:br/>
              <w:t>incorporated under the laws of Ontario, Canada,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Recipient</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Ltd.</w:t>
            </w:r>
            <w:r>
              <w:rPr>
                <w:rFonts w:ascii="Times New Roman;Times;Serif" w:hAnsi="Times New Roman;Times;Serif"/>
                <w:sz w:val="20"/>
              </w:rPr>
              <w:t>, a corporation duly</w:t>
              <w:br/>
              <w:t>incorporated under the laws of Ontario, Canada ,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Guarantor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Strategic Response Fund (“SRF”) is designed to encourage research and development, and accelerate the technology transfer and commercialization of innovative products, services, and processes; facilitate the growth and expansion of firms; secure economically significant mandates within or to Canada; and, advance industrial research and technology demonstration activities through collaboration;</w:t>
            </w:r>
          </w:p>
        </w:tc>
      </w:tr>
    </w:tbl>
    <w:p>
      <w:pPr>
        <w:pStyle w:val="TextBody"/>
        <w:bidi w:val="0"/>
        <w:spacing w:before="0" w:after="0"/>
        <w:ind w:left="1080" w:right="0" w:hanging="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entering into this Agreement nor the provision by the Minister of the Contribution is contingent upon export performance on the part of the Recipient;</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16"/>
        <w:gridCol w:w="9625"/>
      </w:tblGrid>
      <w:tr>
        <w:trPr/>
        <w:tc>
          <w:tcPr>
            <w:tcW w:w="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III-</w:t>
            </w:r>
          </w:p>
        </w:tc>
        <w:tc>
          <w:tcPr>
            <w:tcW w:w="9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in respect of SRF’s business and expansion (Pillar 1) to: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4"/>
        <w:gridCol w:w="558"/>
        <w:gridCol w:w="9523"/>
      </w:tblGrid>
      <w:tr>
        <w:trPr/>
        <w:tc>
          <w:tcPr>
            <w:tcW w:w="1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both"/>
              <w:rPr/>
            </w:pPr>
            <w:r>
              <w:rPr/>
              <w:t>●</w:t>
            </w:r>
          </w:p>
        </w:tc>
        <w:tc>
          <w:tcPr>
            <w:tcW w:w="95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manufacturing capacity;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5"/>
        <w:gridCol w:w="9893"/>
      </w:tblGrid>
      <w:tr>
        <w:trPr/>
        <w:tc>
          <w:tcPr>
            <w:tcW w:w="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production efficiency through improvements to plant and equipment;</w:t>
            </w:r>
          </w:p>
        </w:tc>
      </w:tr>
    </w:tbl>
    <w:p>
      <w:pPr>
        <w:pStyle w:val="TextBody"/>
        <w:bidi w:val="0"/>
        <w:spacing w:before="0" w:after="283"/>
        <w:jc w:val="left"/>
        <w:rPr/>
      </w:pPr>
      <w:r>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process to increase efficiency;</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IV-</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agreed to make a conditionally repayable Contribution to the Recipient in support of the Recipient’s Eligible Supported Costs (as defined herein) of the Project with total Project costs of eight hundred ninety-three million three hundred fifty five thousand dollars ($893,355,000).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accordance with the mutual covenants and agreements herein, His Majesty and the Recipient agree as follows: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 </w:t>
      </w:r>
      <w:r>
        <w:rPr>
          <w:rFonts w:ascii="Times New Roman;Times;Serif" w:hAnsi="Times New Roman;Times;Serif"/>
          <w:b/>
          <w:i w:val="false"/>
          <w:caps w:val="false"/>
          <w:smallCaps w:val="false"/>
          <w:sz w:val="20"/>
          <w:u w:val="single"/>
        </w:rPr>
        <w:t>Purpose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Agreement is to set out respective obligations and the terms and conditions under which the Minister will provide funding in support of the Project (as defined herein).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2. </w:t>
      </w:r>
      <w:r>
        <w:rPr>
          <w:rFonts w:ascii="Times New Roman;Times;Serif" w:hAnsi="Times New Roman;Times;Serif"/>
          <w:b/>
          <w:i w:val="false"/>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a capitalized term has the meaning given to it in this Subsection,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or Divestiture</w:t>
      </w:r>
      <w:r>
        <w:rPr>
          <w:rFonts w:ascii="Times New Roman;Times;Serif" w:hAnsi="Times New Roman;Times;Serif"/>
          <w:b w:val="false"/>
          <w:i w:val="false"/>
          <w:caps w:val="false"/>
          <w:smallCaps w:val="false"/>
          <w:sz w:val="20"/>
        </w:rPr>
        <w:t>” means an acquisition of a business, the sale of a business or a merger or amalgamation.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Activity</w:t>
      </w:r>
      <w:r>
        <w:rPr>
          <w:rFonts w:ascii="Times New Roman;Times;Serif" w:hAnsi="Times New Roman;Times;Serif"/>
          <w:b w:val="false"/>
          <w:i w:val="false"/>
          <w:caps w:val="false"/>
          <w:smallCaps w:val="false"/>
          <w:sz w:val="20"/>
        </w:rPr>
        <w:t xml:space="preserve">” means a significant task that must take place in order to complete the Project. It has duration, during which time the work of that task is performed, and may have resources and costs associated with that task as set out in Form C1- PROJECT COSTS BREAKDOWN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Affiliated Person</w:t>
      </w:r>
      <w:r>
        <w:rPr>
          <w:rFonts w:ascii="Times New Roman;Times;Serif" w:hAnsi="Times New Roman;Times;Serif"/>
          <w:b w:val="false"/>
          <w:i w:val="false"/>
          <w:caps w:val="false"/>
          <w:smallCaps w:val="false"/>
          <w:sz w:val="20"/>
        </w:rPr>
        <w:t xml:space="preserve">” means an affiliated person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contribution agreement including all the schedules attached hereto, as such may be amended, restated or supplemented,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means Intellectual Property that is not Project Intellectual Property and that is required for the carrying out of the Project or the exploitation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 Rights</w:t>
      </w:r>
      <w:r>
        <w:rPr>
          <w:rFonts w:ascii="Times New Roman;Times;Serif" w:hAnsi="Times New Roman;Times;Serif"/>
          <w:b w:val="false"/>
          <w:i w:val="false"/>
          <w:caps w:val="false"/>
          <w:smallCaps w:val="false"/>
          <w:sz w:val="20"/>
        </w:rPr>
        <w:t>” means the Intellectual Property Rights in Background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means those activities described in Subsection 6.2 of this Agreement that will generate benefits to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Phase</w:t>
      </w:r>
      <w:r>
        <w:rPr>
          <w:rFonts w:ascii="Times New Roman;Times;Serif" w:hAnsi="Times New Roman;Times;Serif"/>
          <w:b w:val="false"/>
          <w:i w:val="false"/>
          <w:caps w:val="false"/>
          <w:smallCaps w:val="false"/>
          <w:sz w:val="20"/>
        </w:rPr>
        <w:t>” means the period from the day after the Project Completion Date to and including the last day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of the Recipient means:</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public company, the acquisition by an individual or company (or two or more of them acting in concert) that results in its or their direct or indirect beneficial ownership of twenty percent (20%) or more of outstanding shares of voting stock of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private company, the acquisition by an individual or company (or two or more of them acting in concert) that results in its or their direct or indirect beneficial ownership of fifty percent (50%) or more of the voting stock in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enters into a binding obligation to sell, sells or otherwise disposes of all or substantially all of its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 Period</w:t>
      </w:r>
      <w:r>
        <w:rPr>
          <w:rFonts w:ascii="Times New Roman;Times;Serif" w:hAnsi="Times New Roman;Times;Serif"/>
          <w:b w:val="false"/>
          <w:i w:val="false"/>
          <w:caps w:val="false"/>
          <w:smallCaps w:val="false"/>
          <w:sz w:val="20"/>
        </w:rPr>
        <w:t>” means the following quarters of a calendar year: January 1 to March 31, April 1 to June 30, July 1 to September 30 and October 1 to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w:t>
      </w:r>
      <w:r>
        <w:rPr>
          <w:rFonts w:ascii="Times New Roman;Times;Serif" w:hAnsi="Times New Roman;Times;Serif"/>
          <w:b w:val="false"/>
          <w:i w:val="false"/>
          <w:caps w:val="false"/>
          <w:smallCaps w:val="false"/>
          <w:sz w:val="20"/>
        </w:rPr>
        <w:t>” means the Recipient’s association with one or more Collaboration Partners for the purpose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 Partner</w:t>
      </w:r>
      <w:r>
        <w:rPr>
          <w:rFonts w:ascii="Times New Roman;Times;Serif" w:hAnsi="Times New Roman;Times;Serif"/>
          <w:b w:val="false"/>
          <w:i w:val="false"/>
          <w:caps w:val="false"/>
          <w:smallCaps w:val="false"/>
          <w:sz w:val="20"/>
        </w:rPr>
        <w:t>” means, other than the Recipient and sub-contractors, any small and medium-sized Canadian based enterprise, any Canadian research institute, any licensed or accredited academic, post-secondary institution in Canada that is/are involved in the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means the funding, in Canadian dollars, made available by the Minister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CO-OP Term</w:t>
      </w:r>
      <w:r>
        <w:rPr>
          <w:rFonts w:ascii="Times New Roman;Times;Serif" w:hAnsi="Times New Roman;Times;Serif"/>
          <w:b w:val="false"/>
          <w:i w:val="false"/>
          <w:caps w:val="false"/>
          <w:smallCaps w:val="false"/>
          <w:sz w:val="20"/>
        </w:rPr>
        <w:t>” means a four (4) month full-time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Person</w:t>
      </w:r>
      <w:r>
        <w:rPr>
          <w:rFonts w:ascii="Times New Roman;Times;Serif" w:hAnsi="Times New Roman;Times;Serif"/>
          <w:b w:val="false"/>
          <w:i w:val="false"/>
          <w:caps w:val="false"/>
          <w:smallCaps w:val="false"/>
          <w:sz w:val="20"/>
        </w:rPr>
        <w:t>” means a person that is:</w:t>
      </w:r>
    </w:p>
    <w:p>
      <w:pPr>
        <w:pStyle w:val="TextBody"/>
        <w:bidi w:val="0"/>
        <w:spacing w:before="0" w:after="0"/>
        <w:ind w:left="540" w:right="0" w:hanging="54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45"/>
        <w:gridCol w:w="525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Designated under the </w:t>
            </w:r>
            <w:r>
              <w:rPr>
                <w:rFonts w:ascii="Times New Roman;Times;Serif" w:hAnsi="Times New Roman;Times;Serif"/>
                <w:i/>
                <w:sz w:val="20"/>
              </w:rPr>
              <w:t>Special Economic Measures Act</w:t>
            </w:r>
            <w:r>
              <w:rPr>
                <w:rFonts w:ascii="Times New Roman;Times;Serif" w:hAnsi="Times New Roman;Times;Serif"/>
                <w:sz w:val="20"/>
              </w:rPr>
              <w:t xml:space="preserve"> (Canada);</w:t>
            </w:r>
          </w:p>
        </w:tc>
      </w:tr>
    </w:tbl>
    <w:p>
      <w:pPr>
        <w:pStyle w:val="TextBody"/>
        <w:bidi w:val="0"/>
        <w:spacing w:before="0" w:after="0"/>
        <w:ind w:left="540" w:right="0" w:hanging="5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maintained by the Government of Canada, according to the most current version published by the Government of Canada via Global Affairs Canada, at its official website or any replacement website or other replacement official publication of such list or lists; or</w:t>
            </w:r>
          </w:p>
        </w:tc>
      </w:tr>
    </w:tbl>
    <w:p>
      <w:pPr>
        <w:pStyle w:val="TextBody"/>
        <w:bidi w:val="0"/>
        <w:spacing w:before="0" w:after="0"/>
        <w:ind w:left="540" w:right="0" w:hanging="54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245"/>
        <w:gridCol w:w="854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or is a “designated person” under any applicable Canadian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as regards a Project Asset, the transferring outside Canada, use for a purpose other than research and development or manufacturing by the Recipient, selling, leasing or otherwise disposing including, in the case of a prototype or pilot plant, the transfer to commercial production, but in any event, shall not include abandoning the Project Asset for legitimate business reasons, such as the disposal of obsolete or disused equipment or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Eligibility Date</w:t>
      </w:r>
      <w:r>
        <w:rPr>
          <w:rFonts w:ascii="Times New Roman;Times;Serif" w:hAnsi="Times New Roman;Times;Serif"/>
          <w:b w:val="false"/>
          <w:i w:val="false"/>
          <w:caps w:val="false"/>
          <w:smallCaps w:val="false"/>
          <w:sz w:val="20"/>
        </w:rPr>
        <w:t>” means the date at which the application is deemed complete by SRF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Costs</w:t>
      </w:r>
      <w:r>
        <w:rPr>
          <w:rFonts w:ascii="Times New Roman;Times;Serif" w:hAnsi="Times New Roman;Times;Serif"/>
          <w:b w:val="false"/>
          <w:i w:val="false"/>
          <w:caps w:val="false"/>
          <w:smallCaps w:val="false"/>
          <w:sz w:val="20"/>
        </w:rPr>
        <w:t xml:space="preserve">” means the costs associated with work performed in Canada, or outside of Canada to the extent explicitly permitted in this Agreement that are incurred and paid by the Recipient in respect of the Project, and in accordance with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excluding any costs prohibited or deemed ineligible elsewhere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Not-Supported Costs</w:t>
      </w:r>
      <w:r>
        <w:rPr>
          <w:rFonts w:ascii="Times New Roman;Times;Serif" w:hAnsi="Times New Roman;Times;Serif"/>
          <w:b w:val="false"/>
          <w:i w:val="false"/>
          <w:caps w:val="false"/>
          <w:smallCaps w:val="false"/>
          <w:sz w:val="20"/>
        </w:rPr>
        <w:t xml:space="preserve">” means any costs that are specifically identified in Schedule 1 - Statement of Work as not being supported including those Eligible Costs that are in excess of limits imposed on indirect (overhead) costs under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Supported Costs</w:t>
      </w:r>
      <w:r>
        <w:rPr>
          <w:rFonts w:ascii="Times New Roman;Times;Serif" w:hAnsi="Times New Roman;Times;Serif"/>
          <w:b w:val="false"/>
          <w:i w:val="false"/>
          <w:caps w:val="false"/>
          <w:smallCaps w:val="false"/>
          <w:sz w:val="20"/>
        </w:rPr>
        <w:t>” means any Eligible Costs, excluding Eligible Not-Supported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events of default listed in Subsection 14.1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means the date of the last signature to this Agreement such that the Agreement is signed and dated by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Facilities</w:t>
      </w:r>
      <w:r>
        <w:rPr>
          <w:rFonts w:ascii="Times New Roman;Times;Serif" w:hAnsi="Times New Roman;Times;Serif"/>
          <w:b w:val="false"/>
          <w:i w:val="false"/>
          <w:caps w:val="false"/>
          <w:smallCaps w:val="false"/>
          <w:sz w:val="20"/>
        </w:rPr>
        <w:t>” means the Recipient facilities at 777 Bay Street, Toronto, Ontario or an office building of similar functionality within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price that would be agreed to in an open and unrestricted market between knowledgeable and willing parties dealing at arm’s length, who are fully informed and not under any compulsion to transact.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Funding</w:t>
      </w:r>
      <w:r>
        <w:rPr>
          <w:rFonts w:ascii="Times New Roman;Times;Serif" w:hAnsi="Times New Roman;Times;Serif"/>
          <w:b w:val="false"/>
          <w:i w:val="false"/>
          <w:caps w:val="false"/>
          <w:smallCaps w:val="false"/>
          <w:sz w:val="20"/>
        </w:rPr>
        <w:t>” means all funding from the SRF and investment tax credits (ITCs) (as defined 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means any cause which is unavoidable or beyond the reasonable control of the Recipient, including war, riot, insurrection, strikes, or any act of God or other similar circumstance and which could not have been reasonably circumvented by the Recipient without incurring unreasonable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Full Time Equivalent</w:t>
      </w:r>
      <w:r>
        <w:rPr>
          <w:rFonts w:ascii="Times New Roman;Times;Serif" w:hAnsi="Times New Roman;Times;Serif"/>
          <w:b w:val="false"/>
          <w:i w:val="false"/>
          <w:caps w:val="false"/>
          <w:smallCaps w:val="false"/>
          <w:sz w:val="20"/>
        </w:rPr>
        <w:t>” means the equivalent to a full-time employee who would be responsible to work at least 2,000 hours for the Recipient when calculated on an annual basis. Each equivalent to a full-time employee is calculated by dividing (a) by (b) where (a) = the aggregate of all hours worked by each employee who works for the Recipient including hours taken by them as paid vacation, sick leave, and for other similar reasons, calculated on an annual basis, and (b) = 2,000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Fiscal Year</w:t>
      </w:r>
      <w:r>
        <w:rPr>
          <w:rFonts w:ascii="Times New Roman;Times;Serif" w:hAnsi="Times New Roman;Times;Serif"/>
          <w:b w:val="false"/>
          <w:i w:val="false"/>
          <w:caps w:val="false"/>
          <w:smallCaps w:val="false"/>
          <w:sz w:val="20"/>
        </w:rPr>
        <w:t>” means the period from April 1 of one year to March 31 of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Highly Skilled</w:t>
      </w:r>
      <w:r>
        <w:rPr>
          <w:rFonts w:ascii="Times New Roman;Times;Serif" w:hAnsi="Times New Roman;Times;Serif"/>
          <w:b w:val="false"/>
          <w:i w:val="false"/>
          <w:caps w:val="false"/>
          <w:smallCaps w:val="false"/>
          <w:sz w:val="20"/>
        </w:rPr>
        <w:t>” means an employee that requires specialized training in order to operate, manage or participate in the Project. This may include scientists, engineers, managers and specialized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Headquarters</w:t>
      </w:r>
      <w:r>
        <w:rPr>
          <w:rFonts w:ascii="Times New Roman;Times;Serif" w:hAnsi="Times New Roman;Times;Serif"/>
          <w:b w:val="false"/>
          <w:i w:val="false"/>
          <w:caps w:val="false"/>
          <w:smallCaps w:val="false"/>
          <w:sz w:val="20"/>
        </w:rPr>
        <w:t>” means the establishment that is the locus of strategic decision-making for the business and responsible for managing the day-to-day operations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inventions, whether or not patented or patentable, all proprietary technical information, whether or not constituting trade secrets, and all copyrightable works, industrial designs, integrated circuit topographies, and trademarks, whether or not registered or registrable.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all rights recognized by law in or to Intellectual Property, including but not limited to Intellectual Property rights protected through legislation. These shall include patents, copyrights, industrial design rights, integrated circuit topography rights, rights in trademarks and trade names, all rights in applications and registrations for any of the foregoing, and all rights in trade secrets and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xml:space="preserve">” means the Bank Rate, as defined in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plus 300 basis points, compounded monthly. The Interest Rate for a given month can be found at: http://www.tpsgc-pwgsc.gc.ca/recgen/txt/taux-rates-eng.html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Tax Credits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ITCs</w:t>
      </w:r>
      <w:r>
        <w:rPr>
          <w:rFonts w:ascii="Times New Roman;Times;Serif" w:hAnsi="Times New Roman;Times;Serif"/>
          <w:b w:val="false"/>
          <w:i w:val="false"/>
          <w:caps w:val="false"/>
          <w:smallCaps w:val="false"/>
          <w:sz w:val="20"/>
        </w:rPr>
        <w:t>” means the federal investment tax credits for businesses announced in Budget 2021, Budget 2022, Budget 2023, and any future federal budgets.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Change</w:t>
      </w:r>
      <w:r>
        <w:rPr>
          <w:rFonts w:ascii="Times New Roman;Times;Serif" w:hAnsi="Times New Roman;Times;Serif"/>
          <w:b w:val="false"/>
          <w:i w:val="false"/>
          <w:caps w:val="false"/>
          <w:smallCaps w:val="false"/>
          <w:sz w:val="20"/>
        </w:rPr>
        <w:t>” means a significant change in the scope, objectives, outcomes or benefits of the Project including without limitation, the following:</w:t>
      </w:r>
    </w:p>
    <w:p>
      <w:pPr>
        <w:pStyle w:val="TextBody"/>
        <w:bidi w:val="0"/>
        <w:spacing w:before="0" w:after="0"/>
        <w:ind w:left="540" w:right="0" w:hanging="54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45"/>
        <w:gridCol w:w="768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or not expected to be completed by the Project Completion Date;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Total Estimated Eligible Costs set out in Form C2 – ESTIMATED COST BREAKDOWN BY FISCAL YEAR of Schedule 1 – </w:t>
            </w:r>
            <w:r>
              <w:rPr>
                <w:rFonts w:ascii="Times New Roman;Times;Serif" w:hAnsi="Times New Roman;Times;Serif"/>
                <w:i/>
                <w:sz w:val="20"/>
              </w:rPr>
              <w:t>Statement of Work</w:t>
            </w:r>
            <w:r>
              <w:rPr>
                <w:rFonts w:ascii="Times New Roman;Times;Serif" w:hAnsi="Times New Roman;Times;Serif"/>
                <w:sz w:val="20"/>
              </w:rPr>
              <w:t xml:space="preserve"> are expected to be reduced or are expected to be exceeded by twenty percent (20%) or more;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the locations where the Project is to be performed as identified in Form D – PROJECT LOCATION AND COSTS of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Amount to be Repaid</w:t>
      </w:r>
      <w:r>
        <w:rPr>
          <w:rFonts w:ascii="Times New Roman;Times;Serif" w:hAnsi="Times New Roman;Times;Serif"/>
          <w:b w:val="false"/>
          <w:i w:val="false"/>
          <w:caps w:val="false"/>
          <w:smallCaps w:val="false"/>
          <w:sz w:val="20"/>
        </w:rPr>
        <w:t>” means 1.5 times the actual amount disbursed by the Minister to the Recipient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xml:space="preserve">” means a significant point or event in the Project as set forth in Form B – MILESTONES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the Minister, or the Recipient or any Guarantor,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xml:space="preserve">” means the project as described in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Asset</w:t>
      </w:r>
      <w:r>
        <w:rPr>
          <w:rFonts w:ascii="Times New Roman;Times;Serif" w:hAnsi="Times New Roman;Times;Serif"/>
          <w:b w:val="false"/>
          <w:i w:val="false"/>
          <w:caps w:val="false"/>
          <w:smallCaps w:val="false"/>
          <w:sz w:val="20"/>
        </w:rPr>
        <w:t>” means an asset which, in whole or in part, has been acquired, created, developed, advanced and/or contributed to by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means March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means all Intellectual Property conceived, produced, developed or reduced to practice in carrying out the Project by the Recipient and/or any Affiliated Persons of the Recipient, or any of their employees, agents, contractors or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Office Holder</w:t>
      </w:r>
      <w:r>
        <w:rPr>
          <w:rFonts w:ascii="Times New Roman;Times;Serif" w:hAnsi="Times New Roman;Times;Serif"/>
          <w:b w:val="false"/>
          <w:i w:val="false"/>
          <w:caps w:val="false"/>
          <w:smallCaps w:val="false"/>
          <w:sz w:val="20"/>
        </w:rPr>
        <w:t xml:space="preserve">” means a public office holder as defined in the </w:t>
      </w:r>
      <w:r>
        <w:rPr>
          <w:rFonts w:ascii="Times New Roman;Times;Serif" w:hAnsi="Times New Roman;Times;Serif"/>
          <w:b w:val="false"/>
          <w:i/>
          <w:caps w:val="false"/>
          <w:smallCaps w:val="false"/>
          <w:sz w:val="20"/>
        </w:rPr>
        <w:t>Lobbying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Resulting Products</w:t>
      </w:r>
      <w:r>
        <w:rPr>
          <w:rFonts w:ascii="Times New Roman;Times;Serif" w:hAnsi="Times New Roman;Times;Serif"/>
          <w:b w:val="false"/>
          <w:i w:val="false"/>
          <w:caps w:val="false"/>
          <w:smallCaps w:val="false"/>
          <w:sz w:val="20"/>
        </w:rPr>
        <w:t>” means all products, services or processes produced using the Project Intellectual Property or that incorporate any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Recipient Fiscal Year</w:t>
      </w:r>
      <w:r>
        <w:rPr>
          <w:rFonts w:ascii="Times New Roman;Times;Serif" w:hAnsi="Times New Roman;Times;Serif"/>
          <w:b w:val="false"/>
          <w:i w:val="false"/>
          <w:caps w:val="false"/>
          <w:smallCaps w:val="false"/>
          <w:sz w:val="20"/>
        </w:rPr>
        <w:t xml:space="preserve">” means the period for which the Recipient’s accounts in respect of its business or property are prepared for purposes of assessment under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Repayment Period</w:t>
      </w:r>
      <w:r>
        <w:rPr>
          <w:rFonts w:ascii="Times New Roman;Times;Serif" w:hAnsi="Times New Roman;Times;Serif"/>
          <w:b w:val="false"/>
          <w:i w:val="false"/>
          <w:caps w:val="false"/>
          <w:smallCaps w:val="false"/>
          <w:sz w:val="20"/>
        </w:rPr>
        <w:t xml:space="preserve">” means the repayment period set out in Schedule 5 - </w:t>
      </w:r>
      <w:r>
        <w:rPr>
          <w:rFonts w:ascii="Times New Roman;Times;Serif" w:hAnsi="Times New Roman;Times;Serif"/>
          <w:b w:val="false"/>
          <w:i/>
          <w:caps w:val="false"/>
          <w:smallCaps w:val="false"/>
          <w:sz w:val="20"/>
        </w:rPr>
        <w:t>Repayments to the Minister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Government of Canada.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w:t>
      </w:r>
      <w:r>
        <w:rPr>
          <w:rFonts w:ascii="Times New Roman;Times;Serif" w:hAnsi="Times New Roman;Times;Serif"/>
          <w:b w:val="false"/>
          <w:i w:val="false"/>
          <w:caps w:val="false"/>
          <w:smallCaps w:val="false"/>
          <w:sz w:val="20"/>
        </w:rPr>
        <w:t>” means a schedule to this Agreement, including any amendments or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Similar Goods</w:t>
      </w:r>
      <w:r>
        <w:rPr>
          <w:rFonts w:ascii="Times New Roman;Times;Serif" w:hAnsi="Times New Roman;Times;Serif"/>
          <w:b w:val="false"/>
          <w:i w:val="false"/>
          <w:caps w:val="false"/>
          <w:smallCaps w:val="false"/>
          <w:sz w:val="20"/>
        </w:rPr>
        <w:t>” means goods or services that closely resemble the goods or services being transferred, in respect of their component materials, form, function and characteristics, and are capable of performing an equivalent function as, and of being commercially interchangeable with, the goods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 Readiness Level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TRL</w:t>
      </w:r>
      <w:r>
        <w:rPr>
          <w:rFonts w:ascii="Times New Roman;Times;Serif" w:hAnsi="Times New Roman;Times;Serif"/>
          <w:b w:val="false"/>
          <w:i w:val="false"/>
          <w:caps w:val="false"/>
          <w:smallCaps w:val="false"/>
          <w:sz w:val="20"/>
        </w:rPr>
        <w:t>” means technology readiness according to the Technology Readiness Level scale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76"/>
        <w:gridCol w:w="60"/>
        <w:gridCol w:w="6569"/>
      </w:tblGrid>
      <w:tr>
        <w:trPr/>
        <w:tc>
          <w:tcPr>
            <w:tcW w:w="357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56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1—Basic principles observed and reported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Lowest level of technology readiness. Scientific research begins to be translated into applied research and development (R&amp;D). Examples might include paper studies of a technology’s basic properties.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2—Technology concept and/or application formulated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Invention begins. Once basic principles are observed, practical applications can be invented. Applications are speculative, and there may be no proof or detailed analysis to support the assumptions.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3—Analytical and experimental critical function and/or characteristic proof of concept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Active R&amp;D is initiated. This includes analytical studies and laboratory studies to physically validate the analytical predictions of separate elements of the technology.</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4—Product and/or process validation in laboratory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Basic technological products and/or processes are tested to establish that they will work.</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5—Product and/or process validation in relevant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Reliability of product and/or process innovation increases significantly. The basic products and/or processes are integrated so they can be tested in a simulated environment.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tbl>
      <w:tblPr>
        <w:tblW w:w="10205" w:type="dxa"/>
        <w:jc w:val="left"/>
        <w:tblInd w:w="0" w:type="dxa"/>
        <w:tblLayout w:type="fixed"/>
        <w:tblCellMar>
          <w:top w:w="0" w:type="dxa"/>
          <w:left w:w="0" w:type="dxa"/>
          <w:bottom w:w="28" w:type="dxa"/>
          <w:right w:w="0" w:type="dxa"/>
        </w:tblCellMar>
      </w:tblPr>
      <w:tblGrid>
        <w:gridCol w:w="3700"/>
        <w:gridCol w:w="60"/>
        <w:gridCol w:w="6445"/>
      </w:tblGrid>
      <w:tr>
        <w:trPr/>
        <w:tc>
          <w:tcPr>
            <w:tcW w:w="370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44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6—Product and/or process prototype demonstration in a relevant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Prototypes are tested in a relevant environment. Represents a major step up in a technology’s demonstrated readiness. Examples include testing a prototype in a simulated operational environment.</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7—Product and/or process prototype demonstration in an operational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 near or at planned operational system and  requires demonstration of an actual prototype in an operational environment (e.g. in a vehicle).</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8—Actual product and/or process completed and qualified through test and demonstration</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Innovation has been proven to work in its final form and under expected conditions. In almost all cases, this TRL represents the end of true system development.</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9—Actual product and/or process proven successful</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application of the product and/or process innovation in its final form or function.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means the duration of this Agreement as set out in Subsection 3.2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 Phase</w:t>
      </w:r>
      <w:r>
        <w:rPr>
          <w:rFonts w:ascii="Times New Roman;Times;Serif" w:hAnsi="Times New Roman;Times;Serif"/>
          <w:b w:val="false"/>
          <w:i w:val="false"/>
          <w:caps w:val="false"/>
          <w:smallCaps w:val="false"/>
          <w:sz w:val="20"/>
        </w:rPr>
        <w:t>” means the period of time from the Eligibility Date to and including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Years to Repay</w:t>
      </w:r>
      <w:r>
        <w:rPr>
          <w:rFonts w:ascii="Times New Roman;Times;Serif" w:hAnsi="Times New Roman;Times;Serif"/>
          <w:b w:val="false"/>
          <w:i w:val="false"/>
          <w:caps w:val="false"/>
          <w:smallCaps w:val="false"/>
          <w:sz w:val="20"/>
        </w:rPr>
        <w:t>” means twenty (20)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Singular/Plural.</w:t>
      </w:r>
      <w:r>
        <w:rPr>
          <w:rFonts w:ascii="Times New Roman;Times;Serif" w:hAnsi="Times New Roman;Times;Serif"/>
          <w:b w:val="false"/>
          <w:i w:val="false"/>
          <w:caps w:val="false"/>
          <w:smallCaps w:val="false"/>
          <w:sz w:val="20"/>
        </w:rPr>
        <w:t xml:space="preserve"> Wherever from the context it appears appropriate, each term stated in either the singular or plural shall include the singular and the plural.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xml:space="preserve"> Unless amended in writing by the Parties, this Agreement comprises the entire agreement between the Parties in relation to the Project. No prior document, negotiation, provision, undertaking or agreement in relation to the subject matter of this Agreement has legal effect. No representation or warranty, whether express, implied or otherwise, has been made by the Minister to the Recipient, except as expressly set out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Inconsistency.</w:t>
      </w:r>
      <w:r>
        <w:rPr>
          <w:rFonts w:ascii="Times New Roman;Times;Serif" w:hAnsi="Times New Roman;Times;Serif"/>
          <w:b w:val="false"/>
          <w:i w:val="false"/>
          <w:caps w:val="false"/>
          <w:smallCaps w:val="false"/>
          <w:sz w:val="20"/>
        </w:rPr>
        <w:t xml:space="preserve"> In case of inconsistency or conflict between a provision contained in the part of the Agreement preceding the signatures and a provision contained in any of the Schedules to this Agreement, the provision contained in the part of the Agreement preceding the signatures will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Schedules.</w:t>
      </w:r>
      <w:r>
        <w:rPr>
          <w:rFonts w:ascii="Times New Roman;Times;Serif" w:hAnsi="Times New Roman;Times;Serif"/>
          <w:b w:val="false"/>
          <w:i w:val="false"/>
          <w:caps w:val="false"/>
          <w:smallCaps w:val="false"/>
          <w:sz w:val="20"/>
        </w:rPr>
        <w:t xml:space="preserve"> This Agreement contains the following Schedules as described below, which form an integral part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1 - </w:t>
      </w:r>
      <w:r>
        <w:rPr>
          <w:rFonts w:ascii="Times New Roman;Times;Serif" w:hAnsi="Times New Roman;Times;Serif"/>
          <w:b w:val="false"/>
          <w:i/>
          <w:caps w:val="false"/>
          <w:smallCaps w:val="false"/>
          <w:sz w:val="20"/>
        </w:rPr>
        <w:t>Statement of Work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2 - </w:t>
      </w:r>
      <w:r>
        <w:rPr>
          <w:rFonts w:ascii="Times New Roman;Times;Serif" w:hAnsi="Times New Roman;Times;Serif"/>
          <w:b w:val="false"/>
          <w:i/>
          <w:caps w:val="false"/>
          <w:smallCaps w:val="false"/>
          <w:sz w:val="20"/>
        </w:rPr>
        <w:t>Communications Obligations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3 - </w:t>
      </w:r>
      <w:r>
        <w:rPr>
          <w:rFonts w:ascii="Times New Roman;Times;Serif" w:hAnsi="Times New Roman;Times;Serif"/>
          <w:b w:val="false"/>
          <w:i/>
          <w:caps w:val="false"/>
          <w:smallCaps w:val="false"/>
          <w:sz w:val="20"/>
        </w:rPr>
        <w:t>Cost Principles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4 - </w:t>
      </w:r>
      <w:r>
        <w:rPr>
          <w:rFonts w:ascii="Times New Roman;Times;Serif" w:hAnsi="Times New Roman;Times;Serif"/>
          <w:b w:val="false"/>
          <w:i/>
          <w:caps w:val="false"/>
          <w:smallCaps w:val="false"/>
          <w:sz w:val="20"/>
        </w:rPr>
        <w:t>Reporting Requirements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5 - </w:t>
      </w:r>
      <w:r>
        <w:rPr>
          <w:rFonts w:ascii="Times New Roman;Times;Serif" w:hAnsi="Times New Roman;Times;Serif"/>
          <w:b w:val="false"/>
          <w:i/>
          <w:caps w:val="false"/>
          <w:smallCaps w:val="false"/>
          <w:sz w:val="20"/>
        </w:rPr>
        <w:t>Repayments to the Minister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6 - </w:t>
      </w:r>
      <w:r>
        <w:rPr>
          <w:rFonts w:ascii="Times New Roman;Times;Serif" w:hAnsi="Times New Roman;Times;Serif"/>
          <w:b w:val="false"/>
          <w:i/>
          <w:caps w:val="false"/>
          <w:smallCaps w:val="false"/>
          <w:sz w:val="20"/>
        </w:rPr>
        <w:t>Resolution Process</w:t>
      </w:r>
    </w:p>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u w:val="single"/>
        </w:rPr>
        <w:t>Duration of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Execution.</w:t>
      </w:r>
      <w:r>
        <w:rPr>
          <w:rFonts w:ascii="Times New Roman;Times;Serif" w:hAnsi="Times New Roman;Times;Serif"/>
          <w:b w:val="false"/>
          <w:i w:val="false"/>
          <w:caps w:val="false"/>
          <w:smallCaps w:val="false"/>
          <w:sz w:val="20"/>
        </w:rPr>
        <w:t xml:space="preserve"> This Agreement must be signed by the Recipient and received by the Minister within thirty (30) days of its signature by the Minister, failing which it will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Duration of Agreement.</w:t>
      </w:r>
      <w:r>
        <w:rPr>
          <w:rFonts w:ascii="Times New Roman;Times;Serif" w:hAnsi="Times New Roman;Times;Serif"/>
          <w:b w:val="false"/>
          <w:i w:val="false"/>
          <w:caps w:val="false"/>
          <w:smallCaps w:val="false"/>
          <w:sz w:val="20"/>
        </w:rPr>
        <w:t xml:space="preserve"> This Agreement will be effective as of the Execution Date and will expire, subject to Subsection 3.3, on the later of December 31, 2052 or the date of the last repayment to the Minister unless terminated earlier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Survival Period.</w:t>
      </w:r>
      <w:r>
        <w:rPr>
          <w:rFonts w:ascii="Times New Roman;Times;Serif" w:hAnsi="Times New Roman;Times;Serif"/>
          <w:b w:val="false"/>
          <w:i w:val="false"/>
          <w:caps w:val="false"/>
          <w:smallCaps w:val="false"/>
          <w:sz w:val="20"/>
        </w:rPr>
        <w:t xml:space="preserve"> Notwithstanding the provisions of Subsection 3.2 above, the rights and obligations described in the following Sections or Subsections will survive for a period of three (3) years beyond the Term or early termination of the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 Government Funding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8.5 - Overpayment by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 Reporting, Monitoring, Audit and Evaluation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10.2(d) - Disposal of Assets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13.1 - Indemnification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13.2 - Limitation of Liability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 Default and Remedies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17.2 - Interest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17.3 - Set-off Rights of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17.8 - Applicable Law</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4. </w:t>
      </w:r>
      <w:r>
        <w:rPr>
          <w:rFonts w:ascii="Times New Roman;Times;Serif" w:hAnsi="Times New Roman;Times;Serif"/>
          <w:b/>
          <w:i w:val="false"/>
          <w:caps w:val="false"/>
          <w:smallCaps w:val="false"/>
          <w:sz w:val="20"/>
          <w:u w:val="single"/>
        </w:rPr>
        <w:t>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Subject to the terms and conditions of this Agreement, the Minister agrees to make a conditionally repayable Contribution to the Recipient in respect of the Project in an amount not exceeding the lesser of (a) and (b) as follows: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22"/>
        <w:gridCol w:w="9831"/>
      </w:tblGrid>
      <w:tr>
        <w:trPr/>
        <w:tc>
          <w:tcPr>
            <w:tcW w:w="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Twenty two and ten hundredths percent (22.10%) of the Eligible Supported Costs;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3"/>
        <w:gridCol w:w="478"/>
        <w:gridCol w:w="9654"/>
      </w:tblGrid>
      <w:tr>
        <w:trPr/>
        <w:tc>
          <w:tcPr>
            <w:tcW w:w="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hundred and ninety five million dollars ($195,000,000).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Funding Period.</w:t>
      </w:r>
      <w:r>
        <w:rPr>
          <w:rFonts w:ascii="Times New Roman;Times;Serif" w:hAnsi="Times New Roman;Times;Serif"/>
          <w:b w:val="false"/>
          <w:i w:val="false"/>
          <w:caps w:val="false"/>
          <w:smallCaps w:val="false"/>
          <w:sz w:val="20"/>
        </w:rPr>
        <w:t xml:space="preserve"> The Minister will not contribute to any Eligible Supported Costs incurred by the Recipient prior to the Eligibility Date or after the Project Completion Date. In no event will Eligible Supported Costs incurred prior to the Execution Date exceed twenty percent (20%) of the “Total Estimated Eligible Supported Costs” set out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payment of the Contribution per Government Fiscal Year is estimated at amounts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The Minister will have no obligation to pay any amounts in any Government Fiscal Year other than those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for a given Government Fiscal Year, the Recipient claims an amount less than the estimated Contribution for that Government Fiscal Year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the Minister may consider any request to reprofile the excess funds to future Government Fiscal Years before the Project Completion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rPr>
        <w:t>Overruns.</w:t>
      </w:r>
      <w:r>
        <w:rPr>
          <w:rFonts w:ascii="Times New Roman;Times;Serif" w:hAnsi="Times New Roman;Times;Serif"/>
          <w:b w:val="false"/>
          <w:i w:val="false"/>
          <w:caps w:val="false"/>
          <w:smallCaps w:val="false"/>
          <w:sz w:val="20"/>
        </w:rPr>
        <w:t xml:space="preserve"> The Recipient shall be responsible for all costs of the Project, including cost overruns,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rPr>
        <w:t>Holdbacks.</w:t>
      </w:r>
      <w:r>
        <w:rPr>
          <w:rFonts w:ascii="Times New Roman;Times;Serif" w:hAnsi="Times New Roman;Times;Serif"/>
          <w:b w:val="false"/>
          <w:i w:val="false"/>
          <w:caps w:val="false"/>
          <w:smallCaps w:val="false"/>
          <w:sz w:val="20"/>
        </w:rPr>
        <w:t xml:space="preserve"> Notwithstanding any other provisions of this Agreement, the Minister may, at the Minister’s sole discretion, withhold up to ten percent (10%) of the Contribution until: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66"/>
        <w:gridCol w:w="9663"/>
      </w:tblGrid>
      <w:tr>
        <w:trPr/>
        <w:tc>
          <w:tcPr>
            <w:tcW w:w="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completed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97"/>
        <w:gridCol w:w="9862"/>
      </w:tblGrid>
      <w:tr>
        <w:trPr/>
        <w:tc>
          <w:tcPr>
            <w:tcW w:w="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final report described in Subsection 8.3(c) has been submitted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94"/>
        <w:gridCol w:w="9747"/>
      </w:tblGrid>
      <w:tr>
        <w:trPr/>
        <w:tc>
          <w:tcPr>
            <w:tcW w:w="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approved the final claim described in Subsection 8.3.</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5. </w:t>
      </w:r>
      <w:r>
        <w:rPr>
          <w:rFonts w:ascii="Times New Roman;Times;Serif" w:hAnsi="Times New Roman;Times;Serif"/>
          <w:b/>
          <w:i w:val="false"/>
          <w:caps w:val="false"/>
          <w:smallCaps w:val="false"/>
          <w:sz w:val="20"/>
          <w:u w:val="single"/>
        </w:rPr>
        <w:t>Recipient’s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xml:space="preserve"> The Recipient agrees to carry out the Project in a diligent and professional manner using qualified personnel, and complete same on or before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Project Location.</w:t>
      </w:r>
      <w:r>
        <w:rPr>
          <w:rFonts w:ascii="Times New Roman;Times;Serif" w:hAnsi="Times New Roman;Times;Serif"/>
          <w:b w:val="false"/>
          <w:i w:val="false"/>
          <w:caps w:val="false"/>
          <w:smallCaps w:val="false"/>
          <w:sz w:val="20"/>
        </w:rPr>
        <w:t xml:space="preserve"> Except as otherwise permitted in Subsection 6.3 below, the Recipient agrees to carry out the Project exclusively in Canada located in Toronto,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xml:space="preserve"> The Recipient agrees to conduct Benefits Commitments exclusively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rPr>
        <w:t>Repayment.</w:t>
      </w:r>
      <w:r>
        <w:rPr>
          <w:rFonts w:ascii="Times New Roman;Times;Serif" w:hAnsi="Times New Roman;Times;Serif"/>
          <w:b w:val="false"/>
          <w:i w:val="false"/>
          <w:caps w:val="false"/>
          <w:smallCaps w:val="false"/>
          <w:sz w:val="20"/>
        </w:rPr>
        <w:t xml:space="preserve"> The Recipient agrees to make all repayments due to the Minister as set out in Schedule 5 - Repayments to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rPr>
        <w:t>Compliance.</w:t>
      </w:r>
      <w:r>
        <w:rPr>
          <w:rFonts w:ascii="Times New Roman;Times;Serif" w:hAnsi="Times New Roman;Times;Serif"/>
          <w:b w:val="false"/>
          <w:i w:val="false"/>
          <w:caps w:val="false"/>
          <w:smallCaps w:val="false"/>
          <w:sz w:val="20"/>
        </w:rPr>
        <w:t xml:space="preserve"> The Recipient agrees to satisfy and comply with all other terms, conditions and obligations contained in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6. </w:t>
      </w:r>
      <w:r>
        <w:rPr>
          <w:rFonts w:ascii="Times New Roman;Times;Serif" w:hAnsi="Times New Roman;Times;Serif"/>
          <w:b/>
          <w:i w:val="false"/>
          <w:caps w:val="false"/>
          <w:smallCaps w:val="false"/>
          <w:sz w:val="20"/>
          <w:u w:val="single"/>
        </w:rPr>
        <w:t>Special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Pre-disbursement Clause</w:t>
      </w:r>
    </w:p>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6.1.1</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6.1.2</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Benefits Commitments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947"/>
        <w:gridCol w:w="9174"/>
      </w:tblGrid>
      <w:tr>
        <w:trPr/>
        <w:tc>
          <w:tcPr>
            <w:tcW w:w="8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w:t>
            </w:r>
          </w:p>
        </w:tc>
        <w:tc>
          <w:tcPr>
            <w:tcW w:w="917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Create and maintain high-skilled jobs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5"/>
        <w:gridCol w:w="9743"/>
      </w:tblGrid>
      <w:tr>
        <w:trPr/>
        <w:tc>
          <w:tcPr>
            <w:tcW w:w="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6.2.2</w:t>
            </w:r>
          </w:p>
        </w:tc>
        <w:tc>
          <w:tcPr>
            <w:tcW w:w="974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Canadian research institutes, any licensed or accredited academic, post-secondary institutions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619"/>
        <w:gridCol w:w="9531"/>
      </w:tblGrid>
      <w:tr>
        <w:trPr/>
        <w:tc>
          <w:tcPr>
            <w:tcW w:w="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6.2.3</w:t>
            </w:r>
          </w:p>
        </w:tc>
        <w:tc>
          <w:tcPr>
            <w:tcW w:w="953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any small and medium-sized Canadian-based enterprises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497"/>
        <w:gridCol w:w="8575"/>
      </w:tblGrid>
      <w:tr>
        <w:trPr/>
        <w:tc>
          <w:tcPr>
            <w:tcW w:w="13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6.2.4</w:t>
            </w:r>
          </w:p>
        </w:tc>
        <w:tc>
          <w:tcPr>
            <w:tcW w:w="8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R&amp;D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R&amp;D expenditures are defined in accordance with the accounting standards under which the Recipient’s financial statements are prepared.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 total of [***] million in gross R&amp;D in Canada from February 19, 2026 to March 31, 2031, and spend an annual average of [***] million in total gross R&amp;D for the period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R&amp;D spending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865"/>
        <w:gridCol w:w="9263"/>
      </w:tblGrid>
      <w:tr>
        <w:trPr/>
        <w:tc>
          <w:tcPr>
            <w:tcW w:w="7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6.2.5</w:t>
            </w:r>
          </w:p>
        </w:tc>
        <w:tc>
          <w:tcPr>
            <w:tcW w:w="92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Capital Expenditures </w:t>
            </w:r>
            <w:r>
              <w:rPr>
                <w:rFonts w:ascii="Times New Roman;Times;Serif" w:hAnsi="Times New Roman;Times;Serif"/>
                <w:b/>
                <w:sz w:val="20"/>
              </w:rPr>
              <w:t>(CAPEX)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an average of [***] million per year in CAPEX in Canada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CAPEX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CAPEX are defined in accordance with the accounting standards under which the Recipient’s financial statements are prepared.</w:t>
            </w:r>
          </w:p>
        </w:tc>
      </w:tr>
    </w:tbl>
    <w:p>
      <w:pPr>
        <w:pStyle w:val="TextBody"/>
        <w:bidi w:val="0"/>
        <w:spacing w:before="0" w:after="0"/>
        <w:ind w:left="720" w:right="0" w:hanging="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440"/>
        <w:gridCol w:w="303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6.2.6</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Development of a supply chain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440"/>
        <w:gridCol w:w="482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6.2.7</w:t>
            </w:r>
          </w:p>
        </w:tc>
        <w:tc>
          <w:tcPr>
            <w:tcW w:w="4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Safeguarding Project assets and protecting sensitive data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440"/>
        <w:gridCol w:w="548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6.2.8</w:t>
            </w:r>
          </w:p>
        </w:tc>
        <w:tc>
          <w:tcPr>
            <w:tcW w:w="5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 to inclusive hiring practices and employee training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440"/>
        <w:gridCol w:w="315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w:t>
            </w:r>
          </w:p>
        </w:tc>
        <w:tc>
          <w:tcPr>
            <w:tcW w:w="3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Reduction of Environmental Impacts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545"/>
        <w:gridCol w:w="3980"/>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6.2.10</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Environmental Sustainability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Work Outside Canada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Annual Benefits Reporting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Facilities 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rPr>
        <w:t>Duty to Consult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val="false"/>
          <w:caps w:val="false"/>
          <w:smallCaps w:val="false"/>
          <w:sz w:val="20"/>
        </w:rPr>
        <w:t>Guarantee</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358"/>
        <w:gridCol w:w="8623"/>
      </w:tblGrid>
      <w:tr>
        <w:trPr/>
        <w:tc>
          <w:tcPr>
            <w:tcW w:w="22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Guarantee.</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848"/>
        <w:gridCol w:w="8071"/>
      </w:tblGrid>
      <w:tr>
        <w:trPr/>
        <w:tc>
          <w:tcPr>
            <w:tcW w:w="28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0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Taxes.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836"/>
        <w:gridCol w:w="8066"/>
      </w:tblGrid>
      <w:tr>
        <w:trPr/>
        <w:tc>
          <w:tcPr>
            <w:tcW w:w="30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Costs.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Representations.</w:t>
            </w:r>
            <w:r>
              <w:rPr>
                <w:rFonts w:ascii="Times New Roman;Times;Serif" w:hAnsi="Times New Roman;Times;Serif"/>
                <w:sz w:val="20"/>
              </w:rPr>
              <w:t xml:space="preserve"> The Guarantor represents to the Minister that it has the power and authority, and has met all legal requirements to grant the guarantee under paragraph (a) above and that such guarantee is enforceable against it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Service of Process.</w:t>
            </w:r>
            <w:r>
              <w:rPr>
                <w:rFonts w:ascii="Times New Roman;Times;Serif" w:hAnsi="Times New Roman;Times;Serif"/>
                <w:sz w:val="20"/>
              </w:rPr>
              <w:t xml:space="preserve"> The Guarantor irrevocably consents to the service of process in the manner provided for notices in Section 18 of this Agreement. Nothing in this Agreement will affect the right of the Minister to serve process in any other manner permitted by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The Recipient shall provide written notice to the Minister of any changes which may have an impact on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or on the Benefits Commitments in accordance with Subsection 6.2 of this Agreement. The Recipient shall provide to the satisfaction of the Minister sufficient written reasons to justify modifications to the Agreement. At the Minister’s sole discretion, the Minister may request a formal amendment to be executed by the Parties. The Parties agree to negotiate in good faith such amendments. Failure to agree may result in the Minister declaring an Event of Default in accordance with Subsection 14.1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7. </w:t>
      </w:r>
      <w:r>
        <w:rPr>
          <w:rFonts w:ascii="Times New Roman;Times;Serif" w:hAnsi="Times New Roman;Times;Serif"/>
          <w:b/>
          <w:i w:val="false"/>
          <w:caps w:val="false"/>
          <w:smallCaps w:val="false"/>
          <w:sz w:val="20"/>
          <w:u w:val="single"/>
        </w:rPr>
        <w:t>Government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“Government Funding” means all funding from federal, provincial, territorial or municipal governments in Canada, requested or received by the Recipient, or that the Recipient currently expects to request or receive, to cover any of the Eligible Supported Costs. Government Funding listed below includes all forms of Government Funding, including estimated amounts of provincial, territorial, and federal investment tax credits, including federal Scientific Research and Experimental Development (SR&amp;ED) investment tax credits, provincial and territorial R&amp;D investment tax credits, and ITCs.</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5135"/>
        <w:gridCol w:w="1220"/>
      </w:tblGrid>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program - SRF</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$ 195,000,000</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SR&amp;ED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investment tax credits (estimate)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ITCs, as defined herein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Federal Provincial or Territorial funding – Invest Ontario</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Ontario R&amp;D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Municipal incentives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The Recipient shall notify the Minister of any change to the amount of Government Funding identified in Subsection 7.1. Such notice must be made promptly in writing, and in any case not later than thirty (30) days following any change. In the event funding is obtained in addition to Government Funding identified in Subsection 7.1, the Minister will have the right to either reduce the Contribution to the extent of any additional funding received by the Recipient or require the Recipient to repay the Contribution in the amount equal to the amount of any such additional funding received by the Recipient in accordance with Subsection 8.5.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rPr>
        <w:t>Contribution Adjustment.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8. </w:t>
      </w:r>
      <w:r>
        <w:rPr>
          <w:rFonts w:ascii="Times New Roman;Times;Serif" w:hAnsi="Times New Roman;Times;Serif"/>
          <w:b/>
          <w:i w:val="false"/>
          <w:caps w:val="false"/>
          <w:smallCaps w:val="false"/>
          <w:sz w:val="20"/>
          <w:u w:val="single"/>
        </w:rPr>
        <w:t>Claims and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rPr>
        <w:t>Separate Records.</w:t>
      </w:r>
      <w:r>
        <w:rPr>
          <w:rFonts w:ascii="Times New Roman;Times;Serif" w:hAnsi="Times New Roman;Times;Serif"/>
          <w:b w:val="false"/>
          <w:i w:val="false"/>
          <w:caps w:val="false"/>
          <w:smallCaps w:val="false"/>
          <w:sz w:val="20"/>
        </w:rPr>
        <w:t xml:space="preserve"> The Recipient shall maintain accounting records that account for the Contribution paid to the Recipient and the related Project costs, separate and distinct from any other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rPr>
        <w:t>Claims Procedures.</w:t>
      </w:r>
      <w:r>
        <w:rPr>
          <w:rFonts w:ascii="Times New Roman;Times;Serif" w:hAnsi="Times New Roman;Times;Serif"/>
          <w:b w:val="false"/>
          <w:i w:val="false"/>
          <w:caps w:val="false"/>
          <w:smallCaps w:val="false"/>
          <w:sz w:val="20"/>
        </w:rPr>
        <w:t xml:space="preserve"> The Minister will reimburse claims for Eligible Supported Costs submitted for a Claim Period, provided there is no Event of Default and the claims are:</w:t>
      </w:r>
    </w:p>
    <w:p>
      <w:pPr>
        <w:pStyle w:val="TextBody"/>
        <w:bidi w:val="0"/>
        <w:spacing w:before="0" w:after="0"/>
        <w:ind w:left="144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3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for each Claim Period, except for the first claim which will start on the Eligibility Date;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20"/>
        <w:gridCol w:w="9721"/>
      </w:tblGrid>
      <w:tr>
        <w:trPr/>
        <w:tc>
          <w:tcPr>
            <w:tcW w:w="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within forty-five (45) days of the end of each Claim Period;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accompanied with details of all costs being claimed according to Schedule 3 – </w:t>
            </w:r>
            <w:r>
              <w:rPr>
                <w:rFonts w:ascii="Times New Roman;Times;Serif" w:hAnsi="Times New Roman;Times;Serif"/>
                <w:i/>
                <w:sz w:val="20"/>
              </w:rPr>
              <w:t>Cost Principles</w:t>
            </w:r>
            <w:r>
              <w:rPr>
                <w:rFonts w:ascii="Times New Roman;Times;Serif" w:hAnsi="Times New Roman;Times;Serif"/>
                <w:sz w:val="20"/>
              </w:rPr>
              <w:t xml:space="preserve">, which have been incurred by the Recipient and which will be substantiated by such documents as may be required by the Minister and presented in accordance with the Activities and the Milestones contained in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certified, in a form satisfactory to the Minister, by the chief financial officer of the Recipient or such other person considered satisfactory to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if necessary, by including a deduction for expenses included in a previous claim which were not eligible expenses according to Eligible Costs definition in this Agreement or which were not paid by the Recipient;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7"/>
        <w:gridCol w:w="9460"/>
      </w:tblGrid>
      <w:tr>
        <w:trPr/>
        <w:tc>
          <w:tcPr>
            <w:tcW w:w="1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report containing: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Recipient’s revised projections of the Project cash flows for the current Government Fiscal Year;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identification of any planned or completed transfer to commercial production, transfer outside of Canada, sale, lease or other disposal of equipment funded in whole or in part by the Contribution;</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672"/>
        <w:gridCol w:w="9454"/>
      </w:tblGrid>
      <w:tr>
        <w:trPr/>
        <w:tc>
          <w:tcPr>
            <w:tcW w:w="7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list of foreign sub-contracting costs, if any;</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79"/>
        <w:gridCol w:w="9329"/>
      </w:tblGrid>
      <w:tr>
        <w:trPr/>
        <w:tc>
          <w:tcPr>
            <w:tcW w:w="9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foreign exchange rates used in the claim;</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27"/>
        <w:gridCol w:w="9828"/>
      </w:tblGrid>
      <w:tr>
        <w:trPr/>
        <w:tc>
          <w:tcPr>
            <w:tcW w:w="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progress report as specified in Subsection 1.2 of Schedule 4 - </w:t>
            </w:r>
            <w:r>
              <w:rPr>
                <w:rFonts w:ascii="Times New Roman;Times;Serif" w:hAnsi="Times New Roman;Times;Serif"/>
                <w:i/>
                <w:sz w:val="20"/>
              </w:rPr>
              <w:t>Reporting Requirements</w:t>
            </w:r>
            <w:r>
              <w:rPr>
                <w:rFonts w:ascii="Times New Roman;Times;Serif" w:hAnsi="Times New Roman;Times;Serif"/>
                <w:sz w:val="20"/>
              </w:rPr>
              <w: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21"/>
        <w:gridCol w:w="9620"/>
      </w:tblGrid>
      <w:tr>
        <w:trPr/>
        <w:tc>
          <w:tcPr>
            <w:tcW w:w="6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information as the Minister may request from time to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statement from the Recipient repeating and confirming the representations set out in Section 10 of this Agreement as required by Subsection 10.3, and a certification that there are no Events of Defaults (and no state of facts exist which, with the giving of notice or the passing of time, or both, would constitute an Event of Default);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substantially (± ten percent (10%)) consistent with the cost estimates of Schedule 1 - </w:t>
            </w:r>
            <w:r>
              <w:rPr>
                <w:rFonts w:ascii="Times New Roman;Times;Serif" w:hAnsi="Times New Roman;Times;Serif"/>
                <w:i/>
                <w:sz w:val="20"/>
              </w:rPr>
              <w:t>Statement of Work</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8"/>
        <w:gridCol w:w="9756"/>
      </w:tblGrid>
      <w:tr>
        <w:trPr/>
        <w:tc>
          <w:tcPr>
            <w:tcW w:w="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7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the Recipient’s travel policy (first claim only).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rPr>
        <w:t>Final Claim Procedures.</w:t>
      </w:r>
      <w:r>
        <w:rPr>
          <w:rFonts w:ascii="Times New Roman;Times;Serif" w:hAnsi="Times New Roman;Times;Serif"/>
          <w:b w:val="false"/>
          <w:i w:val="false"/>
          <w:caps w:val="false"/>
          <w:smallCaps w:val="false"/>
          <w:sz w:val="20"/>
        </w:rPr>
        <w:t xml:space="preserve"> The Recipient shall submit, within forty-five (45) days after the Project Completion Date, the final claim along with:</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statement certified by the Recipient’s chief financial officer, or such other person considered satisfactory to the Minister, attesting to the total Eligible Supported Costs for the Project incurred and paid;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of the total government funding (federal, provincial and municipal funding as well as tax credits) received or requested to cover the Eligible Supported Costs of the Project;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final progress report on the Project, as more fully described in Subsection 1.3 of Schedule 4 - </w:t>
            </w:r>
            <w:r>
              <w:rPr>
                <w:rFonts w:ascii="Times New Roman;Times;Serif" w:hAnsi="Times New Roman;Times;Serif"/>
                <w:i/>
                <w:sz w:val="20"/>
              </w:rPr>
              <w:t>Reporting Requirements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rPr>
        <w:t>Payment Procedures.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shall review and approve the documentation submitted by the Recipient following the receipt of the Recipient’s claim and in the event of any deficiency in the documentation, the Minister will notify the Recipient and the Recipient shall immediately take action to address and rectify the deficiency.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maximum Contribution amounts set forth in Subsection 4.1 and all other conditions contained in this Agreement, the Minister shall pay to the Recipient a percentage of the Eligible Supported Costs set forth in the Recipient’s claim based on the sharing ratio identified in Subsection 4.1 (a), in accordance with the Minister’s customary practices.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may request at any time that the Recipient provide satisfactory evidence to demonstrate that all Eligible Supported Costs claimed have been paid.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rPr>
        <w:t>Overpayment by Minister.</w:t>
      </w:r>
      <w:r>
        <w:rPr>
          <w:rFonts w:ascii="Times New Roman;Times;Serif" w:hAnsi="Times New Roman;Times;Serif"/>
          <w:b w:val="false"/>
          <w:i w:val="false"/>
          <w:caps w:val="false"/>
          <w:smallCaps w:val="false"/>
          <w:sz w:val="20"/>
        </w:rPr>
        <w:t xml:space="preserve"> Where the Minister determines that the amount of the Contribution disbursed exceeds the amount to which the Recipient is entitled, the Recipient shall repay to the Minister, promptly and no later than thirty (30) days from notice from the Minister, the amount of the overpayment together with interest at the Interest Rate from the date the amount is due to the day of payment to the Minister in full. Any such amount is a debt due to His Majesty and is recoverable as such.</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9. </w:t>
      </w:r>
      <w:r>
        <w:rPr>
          <w:rFonts w:ascii="Times New Roman;Times;Serif" w:hAnsi="Times New Roman;Times;Serif"/>
          <w:b/>
          <w:i w:val="false"/>
          <w:caps w:val="false"/>
          <w:smallCaps w:val="false"/>
          <w:sz w:val="20"/>
          <w:u w:val="single"/>
        </w:rPr>
        <w:t>Reporting, Monitoring, Audit and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xml:space="preserve"> The Recipient agrees to provide the Minister with the reports as described in Schedule 4 -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to the Minister’s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Additional Information.</w:t>
      </w:r>
      <w:r>
        <w:rPr>
          <w:rFonts w:ascii="Times New Roman;Times;Serif" w:hAnsi="Times New Roman;Times;Serif"/>
          <w:b w:val="false"/>
          <w:i w:val="false"/>
          <w:caps w:val="false"/>
          <w:smallCaps w:val="false"/>
          <w:sz w:val="20"/>
        </w:rPr>
        <w:t xml:space="preserve"> Upon request of the Minister and at no cost to the Minister, the Recipient shall promptly elaborate upon any report submitted or provide such additional information as may be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Minister’s Right to Audit Accounts and Records.</w:t>
      </w:r>
      <w:r>
        <w:rPr>
          <w:rFonts w:ascii="Times New Roman;Times;Serif" w:hAnsi="Times New Roman;Times;Serif"/>
          <w:b w:val="false"/>
          <w:i w:val="false"/>
          <w:caps w:val="false"/>
          <w:smallCaps w:val="false"/>
          <w:sz w:val="20"/>
        </w:rPr>
        <w:t xml:space="preserve"> The Recipient shall, at its own expense, maintain and preserve in Canada and make available for audit and examination by the Minister or the Minister’s representatives all books, accounts and records relating to this Agreement or the Project held by the Recipient, its Affiliated Persons, agents and contractors and of the information necessary to ensure compliance with the terms and conditions of this Agreement, including repayment to the Minister. The Minister will have the right to conduct such audits at the Minister’s expense as may be considered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to in writing by the Minister, the Recipient and its Affiliated Persons, agents and contractors shall maintain and preserve all books, accounts, invoices, receipts and records and all other documentation related to this Agreement until the end of the Recipient Fiscal Year that ends seven (7) years after the fiscal year of the date on which they were created.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Auditor General Rights.</w:t>
      </w:r>
      <w:r>
        <w:rPr>
          <w:rFonts w:ascii="Times New Roman;Times;Serif" w:hAnsi="Times New Roman;Times;Serif"/>
          <w:b w:val="false"/>
          <w:i w:val="false"/>
          <w:caps w:val="false"/>
          <w:smallCaps w:val="false"/>
          <w:sz w:val="20"/>
        </w:rPr>
        <w:t xml:space="preserve"> The Recipient recognizes, acknowledges and accepts that the Auditor General of Canada may, at the Auditor General’s cost, after consultation with the Recipient, conduct an inquiry under the authority of subsection 7.1 (1) of the </w:t>
      </w:r>
      <w:r>
        <w:rPr>
          <w:rFonts w:ascii="Times New Roman;Times;Serif" w:hAnsi="Times New Roman;Times;Serif"/>
          <w:b w:val="false"/>
          <w:i/>
          <w:caps w:val="false"/>
          <w:smallCaps w:val="false"/>
          <w:sz w:val="20"/>
        </w:rPr>
        <w:t>Auditor General Act</w:t>
      </w:r>
      <w:r>
        <w:rPr>
          <w:rFonts w:ascii="Times New Roman;Times;Serif" w:hAnsi="Times New Roman;Times;Serif"/>
          <w:b w:val="false"/>
          <w:i w:val="false"/>
          <w:caps w:val="false"/>
          <w:smallCaps w:val="false"/>
          <w:sz w:val="20"/>
        </w:rPr>
        <w:t xml:space="preserve"> in relation to any funding agreement (as defined in subsection 42 (4) of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with respect to the use of the Contribution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any such inquiry undertaken by the Auditor General, the Recipient shall provide, upon request and in a timely manner, to the Auditor General or anyone acting on behalf of the Auditor General,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records held by the Recipient, its Affiliated Persons, agents or contractors relating to this Agreement and the use of the Contribution provided under this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further information and explanations as the Auditor General, or anyone acting on behalf of the Auditor General, may request relating to this Agreement or the use of the Contribution.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Access to Records.</w:t>
      </w:r>
      <w:r>
        <w:rPr>
          <w:rFonts w:ascii="Times New Roman;Times;Serif" w:hAnsi="Times New Roman;Times;Serif"/>
          <w:b w:val="false"/>
          <w:i w:val="false"/>
          <w:caps w:val="false"/>
          <w:smallCaps w:val="false"/>
          <w:sz w:val="20"/>
        </w:rPr>
        <w:t xml:space="preserve"> The Recipient shall, at all times, ensure that its agents, employees, assigns, contractors, and Affiliated Persons are obligated to provide to the Minister or the Auditor General or their authorized representatives records and other information that are in possession of those agents, employees, assigns, contractors, and Affiliated Persons and that relate to this Agreement or to the use of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rPr>
        <w:t>Access to Premises.</w:t>
      </w:r>
      <w:r>
        <w:rPr>
          <w:rFonts w:ascii="Times New Roman;Times;Serif" w:hAnsi="Times New Roman;Times;Serif"/>
          <w:b w:val="false"/>
          <w:i w:val="false"/>
          <w:caps w:val="false"/>
          <w:smallCaps w:val="false"/>
          <w:sz w:val="20"/>
        </w:rPr>
        <w:t xml:space="preserve"> The Recipient and its Affiliated Persons shall provide the representatives of the Minister reasonable access to premises to inspect and assess the progress of the Project or any element thereof and supply promptly on request such data as the Minister may reasonably require for statistical or Project evaluation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i w:val="false"/>
          <w:caps w:val="false"/>
          <w:smallCaps w:val="false"/>
          <w:sz w:val="20"/>
        </w:rPr>
        <w:t>Evaluation.</w:t>
      </w:r>
      <w:r>
        <w:rPr>
          <w:rFonts w:ascii="Times New Roman;Times;Serif" w:hAnsi="Times New Roman;Times;Serif"/>
          <w:b w:val="false"/>
          <w:i w:val="false"/>
          <w:caps w:val="false"/>
          <w:smallCaps w:val="false"/>
          <w:sz w:val="20"/>
        </w:rPr>
        <w:t xml:space="preserve"> The Recipient shall, at its own expense, participate in the preparation of case studies reporting on the outcomes of the Project, to be completed by the Minister or the Minister’s agents, in order to assist in the Minister’s preparation of an overall evaluation of the value and effectiveness of SRF.</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10. </w:t>
      </w:r>
      <w:r>
        <w:rPr>
          <w:rFonts w:ascii="Times New Roman;Times;Serif" w:hAnsi="Times New Roman;Times;Serif"/>
          <w:b/>
          <w:i w:val="false"/>
          <w:caps w:val="false"/>
          <w:smallCaps w:val="false"/>
          <w:sz w:val="20"/>
          <w:u w:val="single"/>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rPr>
        <w:t>Representations.</w:t>
      </w:r>
      <w:r>
        <w:rPr>
          <w:rFonts w:ascii="Times New Roman;Times;Serif" w:hAnsi="Times New Roman;Times;Serif"/>
          <w:b w:val="false"/>
          <w:i w:val="false"/>
          <w:caps w:val="false"/>
          <w:smallCaps w:val="false"/>
          <w:sz w:val="20"/>
        </w:rPr>
        <w:t xml:space="preserve"> The Recipient represents and warrants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duly incorporated under Canadian law and validly existing and in good standing and has the power and authority to carry on its business, to hold property and to enter into this Agreement and undertakes to take all necessary action to maintain itself in good standing, to preserve its legal capacity and to remain incorporated in a Canadian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signatories to the Agreement have been duly authorized to execute and deliver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delivery and performance of this Agreement have been duly and validly authorized and that when executed and delivered, the Agreement will constitute a legal, valid and binding obligation enforceable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under no obligation or prohibition, nor is it subject to or threatened by any actions, suits or proceedings that could or would prevent compliance with the Agreement. The Recipient shall inform the Minister forthwith of any such occurrence;</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this Agreement and the performance by the Recipient of its obligations hereunder will not, with or without the giving of notice or the passage of time or both: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the provisions of the Recipient’s by-laws, any other corporate governance document subscribed to by the Recipient or any resolution of the Recipient;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75"/>
        <w:gridCol w:w="9890"/>
      </w:tblGrid>
      <w:tr>
        <w:trPr/>
        <w:tc>
          <w:tcPr>
            <w:tcW w:w="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any judgment, decree, order or award of any court, government agency, regulatory authority or arbitrator;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conflict with or result in the breach or termination of any material term or provision of, or constitute a default under, or cause any acceleration under, any license, permit, concession, franchise, indenture, mortgage, lease, equipment lease, contract, deed of trust or any other instrument or agreement by which it is bound;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has obtained or will obtain all necessary licences and permits in relation to the Project, which satisfy the requirements of all regulating bodies of appropriate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18"/>
        <w:gridCol w:w="9838"/>
      </w:tblGrid>
      <w:tr>
        <w:trPr/>
        <w:tc>
          <w:tcPr>
            <w:tcW w:w="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owns or holds sufficient rights in any Intellectual Property required to carry out the Project;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31"/>
        <w:gridCol w:w="9823"/>
      </w:tblGrid>
      <w:tr>
        <w:trPr/>
        <w:tc>
          <w:tcPr>
            <w:tcW w:w="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description of the Project in Schedule 1 - </w:t>
            </w:r>
            <w:r>
              <w:rPr>
                <w:rFonts w:ascii="Times New Roman;Times;Serif" w:hAnsi="Times New Roman;Times;Serif"/>
                <w:i/>
                <w:sz w:val="20"/>
              </w:rPr>
              <w:t>Statement of Work</w:t>
            </w:r>
            <w:r>
              <w:rPr>
                <w:rFonts w:ascii="Times New Roman;Times;Serif" w:hAnsi="Times New Roman;Times;Serif"/>
                <w:sz w:val="20"/>
              </w:rPr>
              <w:t xml:space="preserve"> is complete and accurate.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4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2"/>
        <w:gridCol w:w="9858"/>
      </w:tblGrid>
      <w:tr>
        <w:trPr/>
        <w:tc>
          <w:tcPr>
            <w:tcW w:w="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8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not, nor are any of its respective officers or directors, a Designated Person;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81"/>
        <w:gridCol w:w="9881"/>
      </w:tblGrid>
      <w:tr>
        <w:trPr/>
        <w:tc>
          <w:tcPr>
            <w:tcW w:w="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part of the Contribution will be used, directly or indirectly, by the Recipient, in violation of Sanctions.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rPr>
        <w:t>Covenants.</w:t>
      </w:r>
      <w:r>
        <w:rPr>
          <w:rFonts w:ascii="Times New Roman;Times;Serif" w:hAnsi="Times New Roman;Times;Serif"/>
          <w:b w:val="false"/>
          <w:i w:val="false"/>
          <w:caps w:val="false"/>
          <w:smallCaps w:val="false"/>
          <w:sz w:val="20"/>
        </w:rPr>
        <w:t xml:space="preserve"> The Recipient covenants and agrees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solely responsible for providing or obtaining the funding, in addition to the Contribution, required to carry out the Project and the fulfilment of the Recipient’s other obligations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Material Change within the control of the Recipient will be made without the prior written consent of the Minister. In the event that the Minister does not consent to such a Material Change,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Control is subject to the Minister’s written consent, and, subject to Subsection 17.13, such consent will not be unreasonably withheld: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private company, the Recipient shall notify the Minister in writing no later than thirty (30) days prior to the date from which the Recipient expects to have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public company, the Recipient shall notify the Minister in writing when a Change in Control is publicly disclosed or no later than seven (7) days following any public announcement of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result of Recipient’s notification of the Change in Control, the Minister may require additional due diligence to determine the impacts of the Change in Control, such as the following, but not be limited to: the legal status of the Recipient pursuant to the SRF’s program terms and conditions; the impact on the Recipient’s finances and the Project to ensure that the Recipient is able to complete the Project; and, any other considerations that may emerge. The purpose of the due diligence is to ensure that the Minister can fully evaluate any additional considerations that were not identified at the time of authorizing the funding;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Minister does not consent to a Change in Control further to the notification pursuant to paragraphs 10.2(c) (i) and 10.2(c) (ii),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retain possession and control of all Project Assets the cost of which has been contributed to by the Minister under the Agreement, and the Recipient shall not Dispose of the same without the prior written consent of the Minister, other than in the ordinary course of business where the aggregate book value of such Project Assets for each occurrence is no greater than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in advance and in writing, and subject to paragraphs 10.2 (c) and (d) of this Agreement, notify the Minister in the event of any Acquisition or Divestiture. In the case where the Recipient is a public company, the Recipient shall notify the Minister in writing of any Acquisition or Divestiture contemporaneously with any press release, or filing of a public regulatory notice in respect of such Acquisition or Divestiture;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shall not make any dividend payments or other shareholder distributions that would prevent it from implementing the Project or satisfying any other of the Recipient’s obligations under this Agreement, including, without limitation, the making of repayments to the Minister 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comply with the federal visibility requirements set out in Schedule 2 - </w:t>
            </w:r>
            <w:r>
              <w:rPr>
                <w:rFonts w:ascii="Times New Roman;Times;Serif" w:hAnsi="Times New Roman;Times;Serif"/>
                <w:i/>
                <w:sz w:val="20"/>
              </w:rPr>
              <w:t>Communications Obligations</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78"/>
        <w:gridCol w:w="9653"/>
      </w:tblGrid>
      <w:tr>
        <w:trPr/>
        <w:tc>
          <w:tcPr>
            <w:tcW w:w="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comply with all laws and regulations applicable to 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maintain in effect policies and procedures reasonably designed to ensure compliance by itself and its respective directors and officers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conduct its business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69"/>
        <w:gridCol w:w="9779"/>
      </w:tblGrid>
      <w:tr>
        <w:trPr/>
        <w:tc>
          <w:tcPr>
            <w:tcW w:w="5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use, directly or indirectly, the Contribution in violation of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4"/>
        <w:gridCol w:w="9868"/>
      </w:tblGrid>
      <w:tr>
        <w:trPr/>
        <w:tc>
          <w:tcPr>
            <w:tcW w:w="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act in any other manner that would result in the violation of Sanctions;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cause its controlled Affiliated Persons to comply with paragraphs 10.2(i) to 10.2(l)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Renewal of Representations. It is a condition precedent to any disbursement under this Agreement that the representations, warranties and covenants contained in this Agreement are true at the time of payment and that the Recipient is not in default of compliance with any terms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11. </w:t>
      </w:r>
      <w:r>
        <w:rPr>
          <w:rFonts w:ascii="Times New Roman;Times;Serif" w:hAnsi="Times New Roman;Times;Serif"/>
          <w:b/>
          <w:i w:val="false"/>
          <w:caps w:val="false"/>
          <w:smallCaps w:val="false"/>
          <w:sz w:val="20"/>
          <w:u w:val="single"/>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xml:space="preserve"> The Recipient must own the Background Intellectual Property or hold sufficient Background Intellectual Property Rights to permit the Project to be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xml:space="preserve"> The Recipient must exclusively own and retain ownership of the Project Intellectual Property in Canada for the Term,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rPr>
        <w:t>Exploitation of Project Intellectual Property.</w:t>
      </w:r>
      <w:r>
        <w:rPr>
          <w:rFonts w:ascii="Times New Roman;Times;Serif" w:hAnsi="Times New Roman;Times;Serif"/>
          <w:b w:val="false"/>
          <w:i w:val="false"/>
          <w:caps w:val="false"/>
          <w:smallCaps w:val="false"/>
          <w:sz w:val="20"/>
        </w:rPr>
        <w:t xml:space="preserve"> The Recipient must own or hold sufficient Intellectual Property Rights to exploit the Project Intellectual Property and to make, construct, use and sell the Resulting Products,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rPr>
        <w:t>License of Project Intellectual Property.</w:t>
      </w:r>
      <w:r>
        <w:rPr>
          <w:rFonts w:ascii="Times New Roman;Times;Serif" w:hAnsi="Times New Roman;Times;Serif"/>
          <w:b w:val="false"/>
          <w:i w:val="false"/>
          <w:caps w:val="false"/>
          <w:smallCaps w:val="false"/>
          <w:sz w:val="20"/>
        </w:rPr>
        <w:t xml:space="preserve"> The Recipient agrees not to grant any exclusive license to any of the Project Intellectual Property, in any territory, without the prior written consent of the Minister, [***]. The Recipient is permitted to grant non-exclusive licences to the Project Intellectual Property, without prior written consent of the Minister:</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conjunction with the sale of Resulting Products;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long as the licence grant does not prevent the Recipient from fulfilling its obligations under this Agreement and from exploiting the Project Intellectual Property in any territory.</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i w:val="false"/>
          <w:caps w:val="false"/>
          <w:smallCaps w:val="false"/>
          <w:sz w:val="20"/>
        </w:rPr>
        <w:t>Intellectual Property of Others.</w:t>
      </w:r>
      <w:r>
        <w:rPr>
          <w:rFonts w:ascii="Times New Roman;Times;Serif" w:hAnsi="Times New Roman;Times;Serif"/>
          <w:b w:val="false"/>
          <w:i w:val="false"/>
          <w:caps w:val="false"/>
          <w:smallCaps w:val="false"/>
          <w:sz w:val="20"/>
        </w:rPr>
        <w:t xml:space="preserve"> To the best of the Recipient’s knowledge, no person or entity has alleged that the Background Intellectual Property, or the use thereof by the Recipient, infringes or misappropriates the Intellectual Property Rights that are owned or controlled by that person or entity. To the best of the Recipient’s knowledge, the Recipient would not infringe any Intellectual Property Rights of others by performing the Project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i w:val="false"/>
          <w:caps w:val="false"/>
          <w:smallCaps w:val="false"/>
          <w:sz w:val="20"/>
        </w:rPr>
        <w:t>Crown Ownership of Intellectual Property.</w:t>
      </w:r>
      <w:r>
        <w:rPr>
          <w:rFonts w:ascii="Times New Roman;Times;Serif" w:hAnsi="Times New Roman;Times;Serif"/>
          <w:b w:val="false"/>
          <w:i w:val="false"/>
          <w:caps w:val="false"/>
          <w:smallCaps w:val="false"/>
          <w:sz w:val="20"/>
        </w:rPr>
        <w:t xml:space="preserve"> The Crown will not have an ownership interest in the Project Intellectual Property nor will the Crown acquire new rights in Background Intellectual Property by virtue solely of having provided the Contribution. Rights attributed to the Crown in any other way including under the </w:t>
      </w:r>
      <w:r>
        <w:rPr>
          <w:rFonts w:ascii="Times New Roman;Times;Serif" w:hAnsi="Times New Roman;Times;Serif"/>
          <w:b w:val="false"/>
          <w:i/>
          <w:caps w:val="false"/>
          <w:smallCaps w:val="false"/>
          <w:sz w:val="20"/>
        </w:rPr>
        <w:t>Public Servants Inventions Act</w:t>
      </w:r>
      <w:r>
        <w:rPr>
          <w:rFonts w:ascii="Times New Roman;Times;Serif" w:hAnsi="Times New Roman;Times;Serif"/>
          <w:b w:val="false"/>
          <w:i w:val="false"/>
          <w:caps w:val="false"/>
          <w:smallCaps w:val="false"/>
          <w:sz w:val="20"/>
        </w:rPr>
        <w:t xml:space="preserve"> are not in any way affected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i w:val="false"/>
          <w:caps w:val="false"/>
          <w:smallCaps w:val="false"/>
          <w:sz w:val="20"/>
        </w:rPr>
        <w:t>Intellectual Property Strategy.</w:t>
      </w:r>
      <w:r>
        <w:rPr>
          <w:rFonts w:ascii="Times New Roman;Times;Serif" w:hAnsi="Times New Roman;Times;Serif"/>
          <w:b w:val="false"/>
          <w:i w:val="false"/>
          <w:caps w:val="false"/>
          <w:smallCaps w:val="false"/>
          <w:sz w:val="20"/>
        </w:rPr>
        <w:t xml:space="preserve"> The Recipient shall develop an Intellectual Property strategy (IP Strategy), share it with the Minister within one (1) year of the Execution Date and report annually if there are any changes to the IP Strategy during the Term. The IP Strategy will support the creation and retention of Intellectual Property ownership in Canada and include at least the following elements: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04"/>
        <w:gridCol w:w="9735"/>
      </w:tblGrid>
      <w:tr>
        <w:trPr/>
        <w:tc>
          <w:tcPr>
            <w:tcW w:w="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training plans to increase Intellectual Property awareness;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commercialize the Resulting Products domestically, including a description of commercialization activities, such as licensing and collaboration activities, if appropriate;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01"/>
        <w:gridCol w:w="9855"/>
      </w:tblGrid>
      <w:tr>
        <w:trPr/>
        <w:tc>
          <w:tcPr>
            <w:tcW w:w="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file Intellectual Property applications in Canada and other countries, if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i w:val="false"/>
          <w:caps w:val="false"/>
          <w:smallCaps w:val="false"/>
          <w:sz w:val="20"/>
        </w:rPr>
        <w:t>Intellectual Property Enforcement.</w:t>
      </w:r>
      <w:r>
        <w:rPr>
          <w:rFonts w:ascii="Times New Roman;Times;Serif" w:hAnsi="Times New Roman;Times;Serif"/>
          <w:b w:val="false"/>
          <w:i w:val="false"/>
          <w:caps w:val="false"/>
          <w:smallCaps w:val="false"/>
          <w:sz w:val="20"/>
        </w:rPr>
        <w:t xml:space="preserve"> The Recipient shall promptly notify the Minister if the Recipient becomes aware of any alleged infringement of Project Intellectual Property during the Term, along with the Recipient’s plan for enforcement of its Project Intellectual Property.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12. </w:t>
      </w:r>
      <w:r>
        <w:rPr>
          <w:rFonts w:ascii="Times New Roman;Times;Serif" w:hAnsi="Times New Roman;Times;Serif"/>
          <w:b/>
          <w:i w:val="false"/>
          <w:caps w:val="false"/>
          <w:smallCaps w:val="false"/>
          <w:sz w:val="20"/>
          <w:u w:val="single"/>
        </w:rPr>
        <w:t>Environmental and Other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The Recipient represents that the Project is not a “designated project” and is not being carried out on “federal lands” as such terms are defined in the </w:t>
      </w:r>
      <w:r>
        <w:rPr>
          <w:rFonts w:ascii="Times New Roman;Times;Serif" w:hAnsi="Times New Roman;Times;Serif"/>
          <w:b w:val="false"/>
          <w:i/>
          <w:caps w:val="false"/>
          <w:smallCaps w:val="false"/>
          <w:sz w:val="20"/>
        </w:rPr>
        <w:t>Impact Assessment Act</w:t>
      </w:r>
      <w:r>
        <w:rPr>
          <w:rFonts w:ascii="Times New Roman;Times;Serif" w:hAnsi="Times New Roman;Times;Serif"/>
          <w:b w:val="false"/>
          <w:i w:val="false"/>
          <w:caps w:val="false"/>
          <w:smallCaps w:val="false"/>
          <w:sz w:val="20"/>
        </w:rPr>
        <w:t>, 2019 (“IAA”).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The Recipient shall, in respect of the Project, comply with all federal, provincial, territorial, municipal and other applicable laws, including but not limited to, statutes, regulations, by-laws, rules, orders, ordinances and decrees governing the Recipient or the Project, or both, relating to environmental protection and the successful implementation of and adherence to any mitigation measures, monitoring or follow-up program that may be prescribed by the Minister or other federal, provincial, territorial, municipal tribunals or bodies, and certifies to the Minister that it has done so to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Recipient will provide the Minister with reasonable access to any Project site for the purpose of ensuring that the terms and conditions of any environmental approval are met, and that any mitigation, monitoring or follow-up measure required has been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If as a result of changes to the Project or otherwise, an assessment is required in accordance with IAA for the Project, the Minister and the Recipient agree that the Minister’s obligations under this Agreement will be suspended from the moment that the Minister informs the Recipient, until (i) a decision statement has been issued to the Recipient or, if applicable, the Minister has decided that the Project is not likely to cause significant adverse environmental effects or the Governor in Council has decided that the significant adverse environmental effects are justified in the circumstances, and (ii) if required, an amendment to this Agreement has been signed, setting out any conditions included in the decision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i w:val="false"/>
          <w:caps w:val="false"/>
          <w:smallCaps w:val="false"/>
          <w:sz w:val="20"/>
        </w:rPr>
        <w:t>Aboriginal consultation.</w:t>
      </w:r>
      <w:r>
        <w:rPr>
          <w:rFonts w:ascii="Times New Roman;Times;Serif" w:hAnsi="Times New Roman;Times;Serif"/>
          <w:b w:val="false"/>
          <w:i w:val="false"/>
          <w:caps w:val="false"/>
          <w:smallCaps w:val="false"/>
          <w:sz w:val="20"/>
        </w:rPr>
        <w:t xml:space="preserve"> The Recipient acknowledges that the Minister’s obligation to pay the Contribution is conditional upon His Majesty satisfying any obligation that His Majesty may have to consult with or to accommodate any Aboriginal groups, which may be affected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i w:val="false"/>
          <w:caps w:val="false"/>
          <w:smallCaps w:val="false"/>
          <w:sz w:val="20"/>
        </w:rPr>
        <w:t>Official Languages</w:t>
      </w:r>
      <w:r>
        <w:rPr>
          <w:rFonts w:ascii="Times New Roman;Times;Serif" w:hAnsi="Times New Roman;Times;Serif"/>
          <w:b w:val="false"/>
          <w:i w:val="false"/>
          <w:caps w:val="false"/>
          <w:smallCaps w:val="false"/>
          <w:sz w:val="20"/>
        </w:rPr>
        <w:t>. The Recipient agrees that any public acknowledgement of the Minister’s public support for the Project will be expressed in both official languages.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13. </w:t>
      </w:r>
      <w:r>
        <w:rPr>
          <w:rFonts w:ascii="Times New Roman;Times;Serif" w:hAnsi="Times New Roman;Times;Serif"/>
          <w:b/>
          <w:i w:val="false"/>
          <w:caps w:val="false"/>
          <w:smallCaps w:val="false"/>
          <w:sz w:val="20"/>
          <w:u w:val="single"/>
        </w:rPr>
        <w:t>Indemnification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Except for any claims arising from the gross negligence of, or willful misconduct by, the Minister’s employees, officers, agents or servants, the Recipient agrees, at all times, to indemnify and save harmless, the Minister and any of his officers, servants, employees or agents from all and against all claims and demands, actions, suits or other proceedings (and all losses, costs and damages relating thereto) by whomsoever made, brought or prosecuted (all of the foregoing collectively, the “Claims”), where such Claims are asserted or arise from the Minister being a Party to this Agreement and exercising his rights and performing his obligations under this Agreement, to the extent such Claims result from:</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4"/>
        <w:gridCol w:w="9688"/>
      </w:tblGrid>
      <w:tr>
        <w:trPr/>
        <w:tc>
          <w:tcPr>
            <w:tcW w:w="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its operation, conduct or any other aspect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or non-performance of this Agreement, or the breach or failure to comply with any term, condition, representation or warranty of this Agreement by the Recipient, its Affiliated Persons, its officers, employees and agents, or by a third party or its officers, employees, or agents;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 construction, operation, maintenance and repair of any part of the Project;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omission or other wilful or negligent act or delay of the Recipient, its Affiliated Person or a third party and their respective employees, officers, or agents.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xml:space="preserve"> Notwithstanding anything to the contrary contained herein, the Minister shall not be liable for any direct, indirect, special or consequential damages of the Recipient nor for the loss of revenues or profits arising from, based upon, occasioned by or attributable to the execution of this Agreement, regardless of whether such a liability arises in tort (including negligence), contract, fundamental breach or breach of a fundamental term, misrepresentation, breach of warranty, breach of fiduciary duty, indemnification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His Majesty, his agents, employees and servants will not be held liable in the event the Recipient enters into a loan, a capital or operating lease or other long-term obligation in relation to the Project for which the Contribution is provided.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14. </w:t>
      </w:r>
      <w:r>
        <w:rPr>
          <w:rFonts w:ascii="Times New Roman;Times;Serif" w:hAnsi="Times New Roman;Times;Serif"/>
          <w:b/>
          <w:i w:val="false"/>
          <w:caps w:val="false"/>
          <w:smallCaps w:val="false"/>
          <w:sz w:val="20"/>
          <w:u w:val="single"/>
        </w:rPr>
        <w:t>Default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The Minister may declare that an Event of Default has occurred if:</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8"/>
        <w:gridCol w:w="9905"/>
      </w:tblGrid>
      <w:tr>
        <w:trPr/>
        <w:tc>
          <w:tcPr>
            <w:tcW w:w="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failed or neglected to pay His Majesty any amount due in accordance with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in accordance with Schedule 1 – Statement of Work to the Minister’s satisfaction by the Project Completion Date or the Project is abandoned in whole or in part;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not, in the opinion of the Minister, met or satisfied a term, covenant or condition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becomes bankrupt or insolvent, goes into receivership, or takes the benefit of any statute, from time to time in force, relating to bankrupt or insolvent debtors;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order is made or the Recipient or Guarantor have passed a resolution for the winding up or dissolution of the Recipient or Guarantor, or the Recipient or Guarantor are dissolved or wound up;</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in the opinion of the Minister, ceased to carry on business or has sold all or substantially all of its assets or enters into a letter of intent or binding obligation to sell all or substantially all of its assets;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not met or satisfied a term or condition under any other contribution Agreement or agreement of any kind with His Majesty;</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5"/>
        <w:gridCol w:w="9818"/>
      </w:tblGrid>
      <w:tr>
        <w:trPr/>
        <w:tc>
          <w:tcPr>
            <w:tcW w:w="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fulfill any of the contractual obligations set out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representation, covenant, warranty or statement contained herein or in any document, report or certificate delivered to the Minister hereunder or in connection therewith is false or misleading at the time it was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comply with the obligations regarding audit and evaluation, as set out in Section 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i w:val="false"/>
          <w:caps w:val="false"/>
          <w:smallCaps w:val="false"/>
          <w:sz w:val="20"/>
        </w:rPr>
        <w:t>Notice and Rectification Period.</w:t>
      </w:r>
      <w:r>
        <w:rPr>
          <w:rFonts w:ascii="Times New Roman;Times;Serif" w:hAnsi="Times New Roman;Times;Serif"/>
          <w:b w:val="false"/>
          <w:i w:val="false"/>
          <w:caps w:val="false"/>
          <w:smallCaps w:val="false"/>
          <w:sz w:val="20"/>
        </w:rPr>
        <w:t xml:space="preserve"> Except in the case of an Event of Default under Subsection 14.1 (d), (e) and (f) above, the Minister will not declare that an Event of Default has occurred unless the Parties have attempted to resolve the issue in accordance with Schedule 6 – </w:t>
      </w:r>
      <w:r>
        <w:rPr>
          <w:rFonts w:ascii="Times New Roman;Times;Serif" w:hAnsi="Times New Roman;Times;Serif"/>
          <w:b w:val="false"/>
          <w:i/>
          <w:caps w:val="false"/>
          <w:smallCaps w:val="false"/>
          <w:sz w:val="20"/>
        </w:rPr>
        <w:t>Resolution Process</w:t>
      </w:r>
      <w:r>
        <w:rPr>
          <w:rFonts w:ascii="Times New Roman;Times;Serif" w:hAnsi="Times New Roman;Times;Serif"/>
          <w:b w:val="false"/>
          <w:i w:val="false"/>
          <w:caps w:val="false"/>
          <w:smallCaps w:val="false"/>
          <w:sz w:val="20"/>
        </w:rPr>
        <w:t>. If the Parties are unable to resolve this issue, the Minister may give written notice to the Recipient of the occurrence which, in the Minister’s opinion, constitutes an Event of Default and the Recipient fails, within thirty (30) days of receipt of the notice, either to correct the condition or event or demonstrate, to the satisfaction of the Minister that it has taken such steps as are necessary to correct the condition, failing which the Minister may declare that an Event of Default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i w:val="false"/>
          <w:caps w:val="false"/>
          <w:smallCaps w:val="false"/>
          <w:sz w:val="20"/>
        </w:rPr>
        <w:t>Remedies on Default.</w:t>
      </w:r>
      <w:r>
        <w:rPr>
          <w:rFonts w:ascii="Times New Roman;Times;Serif" w:hAnsi="Times New Roman;Times;Serif"/>
          <w:b w:val="false"/>
          <w:i w:val="false"/>
          <w:caps w:val="false"/>
          <w:smallCaps w:val="false"/>
          <w:sz w:val="20"/>
        </w:rPr>
        <w:t xml:space="preserve"> If, after following the process in Schedule 6 – Resolution Process, the Minister declares that an Event of Default has occurred, the Minister may immediately exercise one or more of the following remedies, in addition to any remedy available at law:</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suspend or terminate any obligation by the Minister to contribute or continue to contribute to the Eligible Supported Costs including any obligation to pay any amount owing prior to the date of such suspension;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repay to the Minister all or part of the Contribution paid by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pay the Minister the total of all amounts required to be repaid pursuant to this Agreement or the Maximum Amount to be Repaid, whichever shall be the greater, less any amount already repaid to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920"/>
        <w:gridCol w:w="9143"/>
      </w:tblGrid>
      <w:tr>
        <w:trPr/>
        <w:tc>
          <w:tcPr>
            <w:tcW w:w="14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terminate the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 a notice on a Government of Canada website disclosing that the Recipient has committed an Event of Default under the provisions of this Agreement and describing generally the remedies, if any, that the Minister has accordingly exercised.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The Recipient acknowledges the policy objectives served by the Minister’s agreement to make the Contribution, that the Contribution comes from the public monies, and that the amount of damages sustained by His Majesty in an Event of Default is difficult to ascertain and therefore, that it is fair and reasonable that the Minister be entitled to exercise any or all of the remedies provided for in this Agreement and to do so in the manner provided for in this Agreement, if an Event of Default occurs.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15.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w:t>
      </w:r>
      <w:r>
        <w:rPr>
          <w:rFonts w:ascii="Times New Roman;Times;Serif" w:hAnsi="Times New Roman;Times;Serif"/>
          <w:b/>
          <w:i w:val="false"/>
          <w:caps w:val="false"/>
          <w:smallCaps w:val="false"/>
          <w:sz w:val="20"/>
        </w:rPr>
        <w:t xml:space="preserve">Compliance with </w:t>
      </w:r>
      <w:r>
        <w:rPr>
          <w:rFonts w:ascii="Times New Roman;Times;Serif" w:hAnsi="Times New Roman;Times;Serif"/>
          <w:b/>
          <w:i/>
          <w:caps w:val="false"/>
          <w:smallCaps w:val="false"/>
          <w:sz w:val="20"/>
        </w:rPr>
        <w:t>Lobbying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Recipient warrants and represents: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it has filed all </w:t>
            </w:r>
            <w:r>
              <w:rPr>
                <w:rFonts w:ascii="Times New Roman;Times;Serif" w:hAnsi="Times New Roman;Times;Serif"/>
                <w:i/>
                <w:sz w:val="20"/>
              </w:rPr>
              <w:t>Lobbying Act</w:t>
            </w:r>
            <w:r>
              <w:rPr>
                <w:rFonts w:ascii="Times New Roman;Times;Serif" w:hAnsi="Times New Roman;Times;Serif"/>
                <w:sz w:val="20"/>
              </w:rPr>
              <w:t xml:space="preserve"> returns required to be filed in respect of persons employed by the Recipient who communicate and/or arrange meetings with Public Office Holders as part of their employment duties, and that it will continue to do so;</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has not contracted with any person to communicate and/or arrange meetings with Public Office Holders for remuneration that is or would be contingent in any way upon the success of such person arranging meetings with Public Office Holders, or upon the approval of the Recipient’s application for SRF funding,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will not contract with any person to communicate and/or arrange meetings with Public Office Holders for remuneration that is or would be contingent upon the success of such person arranging meetings with Public Office Holders,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persons who are or have been contracted by the Recipient to communicate and/or arrange meetings with Public Office Holders in respect of this Agreement are in full compliance with the registration and other requirements of the </w:t>
            </w:r>
            <w:r>
              <w:rPr>
                <w:rFonts w:ascii="Times New Roman;Times;Serif" w:hAnsi="Times New Roman;Times;Serif"/>
                <w:i/>
                <w:sz w:val="20"/>
              </w:rPr>
              <w:t>Lobbying Act</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at all times ensure that any persons contracted to communicate and/or arrange meetings with Public Office Holders in respect of the Agreement are in full compliance with the requirements of the </w:t>
            </w:r>
            <w:r>
              <w:rPr>
                <w:rFonts w:ascii="Times New Roman;Times;Serif" w:hAnsi="Times New Roman;Times;Serif"/>
                <w:i/>
                <w:sz w:val="20"/>
              </w:rPr>
              <w:t>Lobbying Act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i w:val="false"/>
          <w:caps w:val="false"/>
          <w:smallCaps w:val="false"/>
          <w:sz w:val="20"/>
        </w:rPr>
        <w:t>Members of Parliament.</w:t>
      </w:r>
      <w:r>
        <w:rPr>
          <w:rFonts w:ascii="Times New Roman;Times;Serif" w:hAnsi="Times New Roman;Times;Serif"/>
          <w:b w:val="false"/>
          <w:i w:val="false"/>
          <w:caps w:val="false"/>
          <w:smallCaps w:val="false"/>
          <w:sz w:val="20"/>
        </w:rPr>
        <w:t xml:space="preserve"> The Recipient represents and warrants that no member of the House of Commons will be admitted to any share or part of this Agreement or to any benefit to arise therefrom. No person who is a member of the Senate will, directly or indirectly, be a party to or be concerned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i w:val="false"/>
          <w:caps w:val="false"/>
          <w:smallCaps w:val="false"/>
          <w:sz w:val="20"/>
        </w:rPr>
        <w:t>Compliance with Post-Employment Provisions.</w:t>
      </w:r>
      <w:r>
        <w:rPr>
          <w:rFonts w:ascii="Times New Roman;Times;Serif" w:hAnsi="Times New Roman;Times;Serif"/>
          <w:b w:val="false"/>
          <w:i w:val="false"/>
          <w:caps w:val="false"/>
          <w:smallCaps w:val="false"/>
          <w:sz w:val="20"/>
        </w:rPr>
        <w:t xml:space="preserve"> The Recipient confirms that no current or former public servant or public office holder to whom the </w:t>
      </w:r>
      <w:r>
        <w:rPr>
          <w:rFonts w:ascii="Times New Roman;Times;Serif" w:hAnsi="Times New Roman;Times;Serif"/>
          <w:b w:val="false"/>
          <w:i/>
          <w:caps w:val="false"/>
          <w:smallCaps w:val="false"/>
          <w:sz w:val="20"/>
        </w:rPr>
        <w:t>Values and Ethics Code for the Public Service, the Values and Ethics Code for the Public Sector, the Policy on Conflict of Interest and Post-Employment or the Conflict of Interest Act</w:t>
      </w:r>
      <w:r>
        <w:rPr>
          <w:rFonts w:ascii="Times New Roman;Times;Serif" w:hAnsi="Times New Roman;Times;Serif"/>
          <w:b w:val="false"/>
          <w:i w:val="false"/>
          <w:caps w:val="false"/>
          <w:smallCaps w:val="false"/>
          <w:sz w:val="20"/>
        </w:rPr>
        <w:t xml:space="preserve"> apply, will derive a direct benefit from this Agreement unless the provision or receipt of such benefits is in compliance with such legislation and codes.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The Recipient acknowledges that the representations and warranties in this section are fundamental terms of this Agreement. In the event of breach of these, the Minister may exercise the remedies set out in Subsection 14.3.</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16. </w:t>
      </w:r>
      <w:r>
        <w:rPr>
          <w:rFonts w:ascii="Times New Roman;Times;Serif" w:hAnsi="Times New Roman;Times;Serif"/>
          <w:b/>
          <w:i w:val="false"/>
          <w:caps w:val="false"/>
          <w:smallCaps w:val="false"/>
          <w:sz w:val="20"/>
          <w:u w:val="single"/>
        </w:rPr>
        <w:t>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rPr>
        <w:t>Consent Required.</w:t>
      </w:r>
      <w:r>
        <w:rPr>
          <w:rFonts w:ascii="Times New Roman;Times;Serif" w:hAnsi="Times New Roman;Times;Serif"/>
          <w:b w:val="false"/>
          <w:i w:val="false"/>
          <w:caps w:val="false"/>
          <w:smallCaps w:val="false"/>
          <w:sz w:val="20"/>
        </w:rPr>
        <w:t xml:space="preserve"> Subject to Schedule 2 - </w:t>
      </w:r>
      <w:r>
        <w:rPr>
          <w:rFonts w:ascii="Times New Roman;Times;Serif" w:hAnsi="Times New Roman;Times;Serif"/>
          <w:b w:val="false"/>
          <w:i/>
          <w:caps w:val="false"/>
          <w:smallCaps w:val="false"/>
          <w:sz w:val="20"/>
        </w:rPr>
        <w:t>Communications Obligations, the Access to Information Act, the Privacy Act and the Library and Archives Act of Canada</w:t>
      </w:r>
      <w:r>
        <w:rPr>
          <w:rFonts w:ascii="Times New Roman;Times;Serif" w:hAnsi="Times New Roman;Times;Serif"/>
          <w:b w:val="false"/>
          <w:i w:val="false"/>
          <w:caps w:val="false"/>
          <w:smallCaps w:val="false"/>
          <w:sz w:val="20"/>
        </w:rPr>
        <w:t>, each Party shall keep confidential and shall not without the consent of the other Party disclose the contents of the Agreement and the documents pertaining thereto, whether provided before or after the Agreement was entered into, or of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rPr>
        <w:t>International Dispute.</w:t>
      </w:r>
      <w:r>
        <w:rPr>
          <w:rFonts w:ascii="Times New Roman;Times;Serif" w:hAnsi="Times New Roman;Times;Serif"/>
          <w:b w:val="false"/>
          <w:i w:val="false"/>
          <w:caps w:val="false"/>
          <w:smallCaps w:val="false"/>
          <w:sz w:val="20"/>
        </w:rPr>
        <w:t xml:space="preserve"> Notwithstanding Subsection 16.1 of this Agreement, the Recipient waives any confidentiality rights to the extent such rights would impede His Majesty from fulfilling his notification obligations to a world trade panel for the purposes of the conduct of a dispute, in which His Majesty is a party or a third party intervener. The Minister is authorized to disclose the contents of this Agreement and any documents pertaining thereto, whether predating or subsequent to this Agreement, or of the transactions contemplated herein, where in the opinion of the Minister, such disclosure is necessary to the defence of His Majesty’s interests in the course of a trade remedy investigation conducted by a foreign investigative authority, and is protected from public dissemination by the foreign investigative authority. The Minister shall notify the Recipient of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r>
        <w:rPr>
          <w:rFonts w:ascii="Times New Roman;Times;Serif" w:hAnsi="Times New Roman;Times;Serif"/>
          <w:b/>
          <w:i w:val="false"/>
          <w:caps w:val="false"/>
          <w:smallCaps w:val="false"/>
          <w:sz w:val="20"/>
        </w:rPr>
        <w:t>Financing, Licensing and Subcontracting.</w:t>
      </w:r>
      <w:r>
        <w:rPr>
          <w:rFonts w:ascii="Times New Roman;Times;Serif" w:hAnsi="Times New Roman;Times;Serif"/>
          <w:b w:val="false"/>
          <w:i w:val="false"/>
          <w:caps w:val="false"/>
          <w:smallCaps w:val="false"/>
          <w:sz w:val="20"/>
        </w:rPr>
        <w:t xml:space="preserve"> Notwithstanding Subsection 16.1 of this Agreement, the Minister hereby consents to the Recipient disclosing this Agreement, and any portion or summary thereof, for any of the following purposes: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849"/>
        <w:gridCol w:w="9216"/>
      </w:tblGrid>
      <w:tr>
        <w:trPr/>
        <w:tc>
          <w:tcPr>
            <w:tcW w:w="1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securing additional financing;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685"/>
        <w:gridCol w:w="9414"/>
      </w:tblGrid>
      <w:tr>
        <w:trPr/>
        <w:tc>
          <w:tcPr>
            <w:tcW w:w="1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4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for commercial exploitation;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confirming to agents, contractors and subcontractors of the Recipient that all agents, contractors and subcontractors must agree to provide the Minister and the Auditor General with access to their records and premises, provided that any person to whom this Agreement or any portion or summary thereof is disclosed shall execute a non-disclosure agreement prior to such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16.4 </w:t>
      </w:r>
      <w:r>
        <w:rPr>
          <w:rFonts w:ascii="Times New Roman;Times;Serif" w:hAnsi="Times New Roman;Times;Serif"/>
          <w:b/>
          <w:i w:val="false"/>
          <w:caps w:val="false"/>
          <w:smallCaps w:val="false"/>
          <w:sz w:val="20"/>
        </w:rPr>
        <w:t>Repayments.</w:t>
      </w:r>
      <w:r>
        <w:rPr>
          <w:rFonts w:ascii="Times New Roman;Times;Serif" w:hAnsi="Times New Roman;Times;Serif"/>
          <w:b w:val="false"/>
          <w:i w:val="false"/>
          <w:caps w:val="false"/>
          <w:smallCaps w:val="false"/>
          <w:sz w:val="20"/>
        </w:rPr>
        <w:t xml:space="preserve"> Notwithstanding Subsection 16.1 of this Agreement, the Minister may disclose any information relating to the amount of each repayment made by the Recipient whether due or paid.</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17. </w:t>
      </w: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i w:val="false"/>
          <w:caps w:val="false"/>
          <w:smallCaps w:val="false"/>
          <w:sz w:val="20"/>
        </w:rPr>
        <w:t>Debt due to Canada.</w:t>
      </w:r>
      <w:r>
        <w:rPr>
          <w:rFonts w:ascii="Times New Roman;Times;Serif" w:hAnsi="Times New Roman;Times;Serif"/>
          <w:b w:val="false"/>
          <w:i w:val="false"/>
          <w:caps w:val="false"/>
          <w:smallCaps w:val="false"/>
          <w:sz w:val="20"/>
        </w:rPr>
        <w:t xml:space="preserve"> Any amount owed to His Majesty under this Agreement shall constitute a debt due to His Majesty and shall be recoverable as such. Unless otherwise specified herein, the Recipient agrees to make payment of any such debt forthwith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xml:space="preserve"> Debts due to His Majesty will accrue interest in accordance with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compounded monthly on overdue balances payable, from the date on which the payment is due, until payment in full is received by His Majesty. Any such amount is a debt due to His Majesty and is recoverable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i w:val="false"/>
          <w:caps w:val="false"/>
          <w:smallCaps w:val="false"/>
          <w:sz w:val="20"/>
        </w:rPr>
        <w:t>Set-off Rights of Minister.</w:t>
      </w:r>
      <w:r>
        <w:rPr>
          <w:rFonts w:ascii="Times New Roman;Times;Serif" w:hAnsi="Times New Roman;Times;Serif"/>
          <w:b w:val="false"/>
          <w:i w:val="false"/>
          <w:caps w:val="false"/>
          <w:smallCaps w:val="false"/>
          <w:sz w:val="20"/>
        </w:rPr>
        <w:t xml:space="preserve"> Without limiting the scope of the set-off rights provided for under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it is understood that the Minister may set off against the Contribution any amounts owed by the Recipient to the Minister under legislation or contribution Agreements and the Recipient shall declare to the Minister all amounts outstanding in that regard when making a claim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i w:val="false"/>
          <w:caps w:val="false"/>
          <w:smallCaps w:val="false"/>
          <w:sz w:val="20"/>
        </w:rPr>
        <w:t>No Assignment of Agreement.</w:t>
      </w:r>
      <w:r>
        <w:rPr>
          <w:rFonts w:ascii="Times New Roman;Times;Serif" w:hAnsi="Times New Roman;Times;Serif"/>
          <w:b w:val="false"/>
          <w:i w:val="false"/>
          <w:caps w:val="false"/>
          <w:smallCaps w:val="false"/>
          <w:sz w:val="20"/>
        </w:rPr>
        <w:t xml:space="preserve"> No Party shall assign the Agreement or any part thereof without the prior written consent of the Minister. Any attempt by a Party to assign this Agreement or any part thereof, without the express written consent of the Minister,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i w:val="false"/>
          <w:caps w:val="false"/>
          <w:smallCaps w:val="false"/>
          <w:sz w:val="20"/>
        </w:rPr>
        <w:t>Annual Appropriation.</w:t>
      </w:r>
      <w:r>
        <w:rPr>
          <w:rFonts w:ascii="Times New Roman;Times;Serif" w:hAnsi="Times New Roman;Times;Serif"/>
          <w:b w:val="false"/>
          <w:i w:val="false"/>
          <w:caps w:val="false"/>
          <w:smallCaps w:val="false"/>
          <w:sz w:val="20"/>
        </w:rPr>
        <w:t xml:space="preserve"> Any payment by the Minister under this Agreement is subject to there being an appropriation for the Government Fiscal Year in which the payment is to be made; and to cancellation or reduction in the event that departmental funding levels are changed by Parliament. If the Minister is prevented from disbursing the full amount of the Contribution due to a lack or reduction of appropriation or departmental funding levels, the Minister and the Recipient agree to review the effects of such a shortfall in the Contribution on the implementation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This Agreement is binding upon the Recipient, its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i w:val="false"/>
          <w:caps w:val="false"/>
          <w:smallCaps w:val="false"/>
          <w:sz w:val="20"/>
        </w:rPr>
        <w:t>Event of Force Majeure.</w:t>
      </w:r>
      <w:r>
        <w:rPr>
          <w:rFonts w:ascii="Times New Roman;Times;Serif" w:hAnsi="Times New Roman;Times;Serif"/>
          <w:b w:val="false"/>
          <w:i w:val="false"/>
          <w:caps w:val="false"/>
          <w:smallCaps w:val="false"/>
          <w:sz w:val="20"/>
        </w:rPr>
        <w:t xml:space="preserve"> The Recipient will not be in default by reason only of any failure in the performance of the Project in accordance with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such failure arises without the fault or negligence of the Recipient and is caused by any event of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xml:space="preserve"> This Agreement will be interpreted in accordance with the laws of the province of Ontario and federal laws of Canada applicable therein. The word “law” used herein has the same meaning as in the </w:t>
      </w:r>
      <w:r>
        <w:rPr>
          <w:rFonts w:ascii="Times New Roman;Times;Serif" w:hAnsi="Times New Roman;Times;Serif"/>
          <w:b w:val="false"/>
          <w:i/>
          <w:caps w:val="false"/>
          <w:smallCaps w:val="false"/>
          <w:sz w:val="20"/>
        </w:rPr>
        <w:t>Interpretation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r>
        <w:rPr>
          <w:rFonts w:ascii="Times New Roman;Times;Serif" w:hAnsi="Times New Roman;Times;Serif"/>
          <w:b/>
          <w:i w:val="false"/>
          <w:caps w:val="false"/>
          <w:smallCaps w:val="false"/>
          <w:sz w:val="20"/>
        </w:rPr>
        <w:t>Dispute Resolution.</w:t>
      </w:r>
      <w:r>
        <w:rPr>
          <w:rFonts w:ascii="Times New Roman;Times;Serif" w:hAnsi="Times New Roman;Times;Serif"/>
          <w:b w:val="false"/>
          <w:i w:val="false"/>
          <w:caps w:val="false"/>
          <w:smallCaps w:val="false"/>
          <w:sz w:val="20"/>
        </w:rPr>
        <w:t xml:space="preserve"> If a dispute arises concerning the application or interpretation of this Agreement, the Parties will attempt to resolve the matter through good faith negotiation, and may, if necessary and the Parties consent in writing, resolve the matter through mediation or arbitration by a mutually acceptable mediator or by arbitration in accordance with the Commercial Arbitration Code set out in the schedule to the </w:t>
      </w:r>
      <w:r>
        <w:rPr>
          <w:rFonts w:ascii="Times New Roman;Times;Serif" w:hAnsi="Times New Roman;Times;Serif"/>
          <w:b w:val="false"/>
          <w:i/>
          <w:caps w:val="false"/>
          <w:smallCaps w:val="false"/>
          <w:sz w:val="20"/>
        </w:rPr>
        <w:t>Commercial Arbitration Act</w:t>
      </w:r>
      <w:r>
        <w:rPr>
          <w:rFonts w:ascii="Times New Roman;Times;Serif" w:hAnsi="Times New Roman;Times;Serif"/>
          <w:b w:val="false"/>
          <w:i w:val="false"/>
          <w:caps w:val="false"/>
          <w:smallCaps w:val="false"/>
          <w:sz w:val="20"/>
        </w:rPr>
        <w:t xml:space="preserve"> (Canada), as amended, and all regulations made pursuant to that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17.10 </w:t>
      </w:r>
      <w:r>
        <w:rPr>
          <w:rFonts w:ascii="Times New Roman;Times;Serif" w:hAnsi="Times New Roman;Times;Serif"/>
          <w:b/>
          <w:i w:val="false"/>
          <w:caps w:val="false"/>
          <w:smallCaps w:val="false"/>
          <w:sz w:val="20"/>
        </w:rPr>
        <w:t>No Amendment.</w:t>
      </w:r>
      <w:r>
        <w:rPr>
          <w:rFonts w:ascii="Times New Roman;Times;Serif" w:hAnsi="Times New Roman;Times;Serif"/>
          <w:b w:val="false"/>
          <w:i w:val="false"/>
          <w:caps w:val="false"/>
          <w:smallCaps w:val="false"/>
          <w:sz w:val="20"/>
        </w:rPr>
        <w:t xml:space="preserve"> No amendment to this Agreement shall be effective unless it is made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17.11 </w:t>
      </w:r>
      <w:r>
        <w:rPr>
          <w:rFonts w:ascii="Times New Roman;Times;Serif" w:hAnsi="Times New Roman;Times;Serif"/>
          <w:b/>
          <w:i w:val="false"/>
          <w:caps w:val="false"/>
          <w:smallCaps w:val="false"/>
          <w:sz w:val="20"/>
        </w:rPr>
        <w:t>Contribution Agreement Only.</w:t>
      </w:r>
      <w:r>
        <w:rPr>
          <w:rFonts w:ascii="Times New Roman;Times;Serif" w:hAnsi="Times New Roman;Times;Serif"/>
          <w:b w:val="false"/>
          <w:i w:val="false"/>
          <w:caps w:val="false"/>
          <w:smallCaps w:val="false"/>
          <w:sz w:val="20"/>
        </w:rPr>
        <w:t xml:space="preserve"> This Agreement is a contribution Agreement only, not a contract for services or a contract of service or employment, and nothing in this Agreement, the Parties relationship or actions is intended to create, or be construed as creating, a partnership, employment or agency relationship between them. The Recipient is not in any way authorized to make a promise, agreement or contract and to incur any liability on behalf of His Majesty or to represent itself as an agent, employee or partner of His Majesty, including in any agreement with a third party, nor shall the Recipient make a promise, agreement or contract and incur any liability on behalf of His Majesty, and the Recipient shall be solely responsible for all deductions and remittances required by law in relation to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17.12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xml:space="preserve"> The rights and remedies of the Minister under this Agreement shall be cumulative and not exclusive of any right or remedy that he or she would otherwise have. The fact that the Minister refrains from exercising a remedy he or she is entitled to exercise under this Agreement will not constitute a waiver of such right and any partial exercise of a right will not prevent the Minister in any way from later exercising any other right or remedy under this Agreement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17.13 </w:t>
      </w:r>
      <w:r>
        <w:rPr>
          <w:rFonts w:ascii="Times New Roman;Times;Serif" w:hAnsi="Times New Roman;Times;Serif"/>
          <w:b/>
          <w:i w:val="false"/>
          <w:caps w:val="false"/>
          <w:smallCaps w:val="false"/>
          <w:sz w:val="20"/>
        </w:rPr>
        <w:t>Consent of the Minister.</w:t>
      </w:r>
      <w:r>
        <w:rPr>
          <w:rFonts w:ascii="Times New Roman;Times;Serif" w:hAnsi="Times New Roman;Times;Serif"/>
          <w:b w:val="false"/>
          <w:i w:val="false"/>
          <w:caps w:val="false"/>
          <w:smallCaps w:val="false"/>
          <w:sz w:val="20"/>
        </w:rPr>
        <w:t xml:space="preserve"> Whenever this Agreement provides for the Minister to render a decision or for the Recipient to obtain the consent or agreement of the Minister, such decision shall be reasonable on the facts and circumstance and such consent or agreement will not be unreasonably withheld but the Minister may make the issuance of such consent or agreement subject to reasonable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17.14 </w:t>
      </w:r>
      <w:r>
        <w:rPr>
          <w:rFonts w:ascii="Times New Roman;Times;Serif" w:hAnsi="Times New Roman;Times;Serif"/>
          <w:b/>
          <w:i w:val="false"/>
          <w:caps w:val="false"/>
          <w:smallCaps w:val="false"/>
          <w:sz w:val="20"/>
        </w:rPr>
        <w:t>No conflict of interest.</w:t>
      </w:r>
      <w:r>
        <w:rPr>
          <w:rFonts w:ascii="Times New Roman;Times;Serif" w:hAnsi="Times New Roman;Times;Serif"/>
          <w:b w:val="false"/>
          <w:i w:val="false"/>
          <w:caps w:val="false"/>
          <w:smallCaps w:val="false"/>
          <w:sz w:val="20"/>
        </w:rPr>
        <w:t xml:space="preserve"> The Recipient and its Affiliated Persons, consultants and any of their respective advisors, partners, directors, officers, shareholders, employees, agents and volunteers shall not engage in any activity where such activity creates a real, apparent or potential conflict of interest in the sole opinion of the Minister, with the carrying out of the Project. For greater certainty, and without limiting the generality of the foregoing, a conflict of interest includes a situation where anyone associated with the Recipient owns or has an interest in an organization that is carrying out work related to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17.15 </w:t>
      </w:r>
      <w:r>
        <w:rPr>
          <w:rFonts w:ascii="Times New Roman;Times;Serif" w:hAnsi="Times New Roman;Times;Serif"/>
          <w:b/>
          <w:i w:val="false"/>
          <w:caps w:val="false"/>
          <w:smallCaps w:val="false"/>
          <w:sz w:val="20"/>
        </w:rPr>
        <w:t>Disclose potential conflict of interest.</w:t>
      </w:r>
      <w:r>
        <w:rPr>
          <w:rFonts w:ascii="Times New Roman;Times;Serif" w:hAnsi="Times New Roman;Times;Serif"/>
          <w:b w:val="false"/>
          <w:i w:val="false"/>
          <w:caps w:val="false"/>
          <w:smallCaps w:val="false"/>
          <w:sz w:val="20"/>
        </w:rPr>
        <w:t xml:space="preserve"> The Recipient shall disclose to the Minister without delay any actual or potential situation that may be reasonably interpreted as either a conflict of interest or a potential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17.16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Any provision of this Agreement which is prohibited by law or otherwise deemed ineffective will be ineffective only to the extent of such prohibition or ineffectiveness and will be severable without invalidating or otherwise affecting the remaining provisions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17.17 </w:t>
      </w:r>
      <w:r>
        <w:rPr>
          <w:rFonts w:ascii="Times New Roman;Times;Serif" w:hAnsi="Times New Roman;Times;Serif"/>
          <w:b/>
          <w:i w:val="false"/>
          <w:caps w:val="false"/>
          <w:smallCaps w:val="false"/>
          <w:sz w:val="20"/>
        </w:rPr>
        <w:t>Signature in Counterparts.</w:t>
      </w:r>
      <w:r>
        <w:rPr>
          <w:rFonts w:ascii="Times New Roman;Times;Serif" w:hAnsi="Times New Roman;Times;Serif"/>
          <w:b w:val="false"/>
          <w:i w:val="false"/>
          <w:caps w:val="false"/>
          <w:smallCaps w:val="false"/>
          <w:sz w:val="20"/>
        </w:rPr>
        <w:t xml:space="preserve"> This Agreement may be signed in counterparts and such counterparts may be delivered by acceptable electronic transmission, including portable document format (PDF), each of which when executed and delivered is deemed to be an original, and when taken together, will constitute one and the same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17.18 </w:t>
      </w:r>
      <w:r>
        <w:rPr>
          <w:rFonts w:ascii="Times New Roman;Times;Serif" w:hAnsi="Times New Roman;Times;Serif"/>
          <w:b/>
          <w:i w:val="false"/>
          <w:caps w:val="false"/>
          <w:smallCaps w:val="false"/>
          <w:sz w:val="20"/>
        </w:rPr>
        <w:t>Currency.</w:t>
      </w:r>
      <w:r>
        <w:rPr>
          <w:rFonts w:ascii="Times New Roman;Times;Serif" w:hAnsi="Times New Roman;Times;Serif"/>
          <w:b w:val="false"/>
          <w:i w:val="false"/>
          <w:caps w:val="false"/>
          <w:smallCaps w:val="false"/>
          <w:sz w:val="20"/>
        </w:rPr>
        <w:t xml:space="preserve"> Unless otherwise indicated, all dollar amounts referred to in this Agreement are to the currency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17.19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The Recipient acknowledges that financial funding from government programs may have tax implications for its organization and that advice should be obtained from a qualified tax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17.20 </w:t>
      </w:r>
      <w:r>
        <w:rPr>
          <w:rFonts w:ascii="Times New Roman;Times;Serif" w:hAnsi="Times New Roman;Times;Serif"/>
          <w:b/>
          <w:i w:val="false"/>
          <w:caps w:val="false"/>
          <w:smallCaps w:val="false"/>
          <w:sz w:val="20"/>
        </w:rPr>
        <w:t>Acquisition Condition.</w:t>
      </w:r>
      <w:r>
        <w:rPr>
          <w:rFonts w:ascii="Times New Roman;Times;Serif" w:hAnsi="Times New Roman;Times;Serif"/>
          <w:b w:val="false"/>
          <w:i w:val="false"/>
          <w:caps w:val="false"/>
          <w:smallCaps w:val="false"/>
          <w:sz w:val="20"/>
        </w:rPr>
        <w:t xml:space="preserve"> In the event that the Minister does not provide consent to a Change in Control as defined within the Agreement, the Recipient may terminate the Agreement upon payment of [***] of the Contribution disbursed, less any amount already repaid to the Minister as of the date of the written notice of the Minister informing the Recipient of the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Termination shall be equal to = [***] x Contribution Amount Disbursed) – any Contribution amount repaid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18. </w:t>
      </w:r>
      <w:r>
        <w:rPr>
          <w:rFonts w:ascii="Times New Roman;Times;Serif" w:hAnsi="Times New Roman;Times;Serif"/>
          <w:b/>
          <w:i w:val="false"/>
          <w:caps w:val="false"/>
          <w:smallCaps w:val="false"/>
          <w:sz w:val="20"/>
          <w:u w:val="single"/>
        </w:rPr>
        <w:t>Contact Information &amp;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w:t>
      </w:r>
      <w:r>
        <w:rPr>
          <w:rFonts w:ascii="Times New Roman;Times;Serif" w:hAnsi="Times New Roman;Times;Serif"/>
          <w:b/>
          <w:i w:val="false"/>
          <w:caps w:val="false"/>
          <w:smallCaps w:val="false"/>
          <w:sz w:val="20"/>
        </w:rPr>
        <w:t>Form and Timing of Notice.</w:t>
      </w:r>
      <w:r>
        <w:rPr>
          <w:rFonts w:ascii="Times New Roman;Times;Serif" w:hAnsi="Times New Roman;Times;Serif"/>
          <w:b w:val="false"/>
          <w:i w:val="false"/>
          <w:caps w:val="false"/>
          <w:smallCaps w:val="false"/>
          <w:sz w:val="20"/>
        </w:rPr>
        <w:t xml:space="preserve"> Any notice or other communication under this Agreement shall be made in writing. The Minister or the Recipient may send any written notice by any pre-paid method, including regular or registered mail, courier or email. Notice will be considered as received upon delivery by the courier, upon the Party confirming receipt of the email or one (1) day after the email is sent, whichever the sooner or five (5) calendar days after being mailed.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Any notices to the Minister in fulfillment of obligations such as claims, reporting, and any other documents stipulated under this Agreement,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Response Fund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Director General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Queen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Ottawa, Ontario K1A 0H5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to be provided by SRF upon request from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claims forms will not be sent by email unless otherwise agreed to in writing by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Any notices to the Recipient and Guarantor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777 Bay Street, Suite 2400, Toronto, Ontario, M5G 2C8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legal@xanadu.ai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18.4 </w:t>
      </w:r>
      <w:r>
        <w:rPr>
          <w:rFonts w:ascii="Times New Roman;Times;Serif" w:hAnsi="Times New Roman;Times;Serif"/>
          <w:b/>
          <w:i w:val="false"/>
          <w:caps w:val="false"/>
          <w:smallCaps w:val="false"/>
          <w:sz w:val="20"/>
        </w:rPr>
        <w:t>Change of Contact Information.</w:t>
      </w:r>
      <w:r>
        <w:rPr>
          <w:rFonts w:ascii="Times New Roman;Times;Serif" w:hAnsi="Times New Roman;Times;Serif"/>
          <w:b w:val="false"/>
          <w:i w:val="false"/>
          <w:caps w:val="false"/>
          <w:smallCaps w:val="false"/>
          <w:sz w:val="20"/>
        </w:rPr>
        <w:t xml:space="preserve"> Each of the Parties may change the address, which they have stipulated in this Agreement by notifying in writing the other Party of the new address, and such change shall be deemed to take effect fifteen (15) calendar days after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executed this Agreement through duly authorized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 MAJESTY THE KING IN RIGHT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represented by the Minister of Industry</w:t>
      </w:r>
    </w:p>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350"/>
        <w:gridCol w:w="3455"/>
        <w:gridCol w:w="1385"/>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Amy Mar</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Amy Mar</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General, Strategic Response Fund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Inc.</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Ltd.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1 - STATEMENT OF WORK (SOW)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2 - COMMUNICATIONS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3 - COST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4 -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5 - REPAYMENTS TO THE MINISTER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6 – RESOLUTION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of Canada Invests CAD $195 Million in Xanadu to Build the Quantum Supply Chain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commitment through the Strategic Response Fund for Project OPTIMISM anchors Xanadu’s plan to manufacture the components of fault-tolerant utility-scale quantum computers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today announced it has signed a definitive agreement with the Government of Canada for CAD $195 million support through the Strategic Response Fund, administered by Innovation, Science and Economic Development Canada. The funding, which represents the largest investment in quantum manufacturing in Canadian history, is expected to help enable Xanadu to establish the advanced manufacturing facilities it needs to build fault-tolerant utility-scale photonic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CAD $195 million federal commitment formalizes the complete federal portion of the potential funding of up to CAD $390 million in support announced on March 11, 2026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computers capable of solving commercially valuable problems cannot be built solely from off-the-shelf parts. They are expected to depend on manufacturing capabilities that do not exist at scale today: heterogeneous integration of photonic chips, photonic integrated circuit packaging, wafer-level semiconductor testing and measurement, and quantum module assembly. With this investment, Xanadu will seek to build these new capabilities locally, giving the company a vertically integrated path from chip to system, and the manufacturing foundation for its roadmap toward quantum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agreement is a major milestone for Xanadu and for Canada’s ambition to lead in quantum technology and advanced manufacturing,” said Dr. Christian Weedbrook, Founder and Chief Executive Officer of Xanadu. “We believe building utility-scale quantum computers will require a new generation of highly specialized manufacturing capabilities. With the Government of Canada’s commitment through the Strategic Response Fund, we plan to move forward with establishing that infrastructure here at home, strengthening Canada’s quantum supply chain and creating a foundation for future quantum data-centre deployment. This is a vital step in our mission to build quantum computers that are useful and available to people everywhere and we take pride in the Government of Canada’s confidence in Xanadu, and we look forward to continuing our work to realize the full vision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Building Canada strong means investing in the industries that will strengthen our economy today and into the future. Quantum technology represents a tremendous opportunity to create good jobs, strengthen our economic sovereignty, and grow world-leading industries here at home. By investing in advanced manufacturing and innovation in Canada, we are building a more resilient economy, developing Canadian talent, and ensuring we remain competitive in a rapidly changing world.” said The Honourable Mélanie Joly, Minister of Industry and Minister responsible for Canada Economic Development for Quebec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Canada is home to some of the world’s leading quantum researchers, innovators and companies. Strategic investments like this one help transform Canadian breakthroughs into globally competitive businesses, strengthen our quantum ecosystem, and create high-value jobs here at home. Quantum technologies will be one of the foundational technologies of the 21st century. By supporting advanced manufacturing and commercialization in Canada, we are helping ensure that Canada remains a global leader in quantum innovation and that more of the economic benefits of that leadership are created here at home.,” said The Honourable Evan Solomon, Minister of Artificial Intelligence and Digital Innovation and Minister responsible for the Federal Economic Development Agency for Southern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capabilities Xanadu develops under the agreement are expected to extend beyond quantum computing. Advanced photonic packaging, heterogeneous integration, and wafer-level test infrastructure are foundational to telecommunications, artificial intelligence hardware, and sensing technologies. This investment in Xanadu and the Canadian ecosystem forming around it are at the center of several of the fastest-growing segments of the global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Xanadu,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its ability to maintain internal control over financial reporting and operate as a public company; the outcome of any legal proceedings or government investigations that may be commenced against Xanadu; Xanadu’s ability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Secures CAD $195 Million and Establishes Landmark Advanced Photonics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announced today that it will establish a landmark advanced photonics research, development, and manufacturing facility as part of Project OPTIMISM, supported by CAD $195 million in federal government funding also announced today. The new facility, named “Inception,” is expected to feature world-class technology to enable scalable production of the components that will power future quantum data centres. We believe this work will revolutionize quantum infrastructure and strengthen Canada’s position as a global leader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for Inception is part of the largest government investment in quantum manufacturing in Canadian history. The funding is expected to accelerate scaling the photonic hardware required to achieve fault-tolerant quantum computing, the crucial milestone for delivering commercially meaningful, real-world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to be a global facility for the manufacturing, packaging, and assembly of quantum computing components, the 158,000-square-foot Toronto site is being transformed into one of the world’s most sophisticated photonics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is expected to feature state-of-the-art cleanrooms and equipment tailored for high-precision quantum hardware. Key technical capabilities are expected to include round-the-clock test and measurement facilities and first-of-its-kind heterogeneous integration. This integration process is vital for combining diverse photonic components onto a single scalable chip. These advanced capabilities will leverage Xanadu’s established industry partnerships and integrate specialized tooling from ASMPT, Bluefors, DISCO, EVG, FiconTEC, and MPI. The facility is expected to house Xanadu’s Systems Integration and Operation Centre, where quantum modules are assembled, tested, and verified before being installed into server racks.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launch of Inception is a defining strategic milestone for Xanadu and the broader quantum industry,” said Dr. Christian Weedbrook, Founder and Chief Executive Officer of Xanadu. “We believe that this investment ensures that Xanadu remains at the forefront of the field, providing the infrastructure necessary to transition quantum technology from the lab to commercial-scale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on a mission to build quantum computers that are useful and available to people everywhere. Inception is central to this mission, serving as a world-class facility for building the next generation of quantum infrastructure to meet the global demand for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operate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the combined company following the transaction,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combined company’s ability to maintain internal control over financial reporting and operate as a public company; the occurrence of any event, change or other circumstance that could give rise to the termination of the business combination agreement; the outcome of any legal proceedings or government investigations that may be commenced against Xanadu; failure to realize the anticipated benefits of the transaction; the ability of the combined company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97163/000121390026061015/ea0291748-s8_xanad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14422</Words>
  <Characters>80340</Characters>
  <CharactersWithSpaces>94775</CharactersWithSpaces>
  <Paragraphs>1467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